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40" w:lineRule="atLeast"/>
        <w:jc w:val="center"/>
        <w:rPr>
          <w:rFonts w:ascii="黑体" w:hAnsi="宋体" w:eastAsia="黑体" w:cs="Calibri"/>
          <w:b/>
          <w:bCs/>
          <w:sz w:val="36"/>
          <w:szCs w:val="36"/>
        </w:rPr>
      </w:pPr>
      <w:r>
        <w:rPr>
          <w:rFonts w:ascii="黑体" w:hAnsi="宋体" w:eastAsia="黑体" w:cs="Calibri"/>
          <w:b/>
          <w:bCs/>
          <w:sz w:val="36"/>
          <w:szCs w:val="36"/>
        </w:rPr>
        <w:t>2022</w:t>
      </w:r>
      <w:r>
        <w:rPr>
          <w:rFonts w:hint="eastAsia" w:ascii="黑体" w:hAnsi="宋体" w:eastAsia="黑体" w:cs="Calibri"/>
          <w:b/>
          <w:bCs/>
          <w:sz w:val="36"/>
          <w:szCs w:val="36"/>
        </w:rPr>
        <w:t>年教育系</w:t>
      </w:r>
    </w:p>
    <w:p>
      <w:pPr>
        <w:adjustRightInd w:val="0"/>
        <w:snapToGrid w:val="0"/>
        <w:spacing w:line="240" w:lineRule="atLeast"/>
        <w:jc w:val="center"/>
        <w:rPr>
          <w:rFonts w:ascii="黑体" w:hAnsi="宋体" w:eastAsia="黑体" w:cs="Calibri"/>
          <w:b/>
          <w:bCs/>
          <w:sz w:val="36"/>
          <w:szCs w:val="36"/>
        </w:rPr>
      </w:pPr>
      <w:r>
        <w:rPr>
          <w:rFonts w:hint="eastAsia" w:ascii="黑体" w:hAnsi="宋体" w:eastAsia="黑体" w:cs="Calibri"/>
          <w:b/>
          <w:bCs/>
          <w:sz w:val="36"/>
          <w:szCs w:val="36"/>
        </w:rPr>
        <w:t>英语口语技能大赛方案</w:t>
      </w:r>
    </w:p>
    <w:p>
      <w:pPr>
        <w:snapToGrid w:val="0"/>
        <w:ind w:firstLine="703" w:firstLineChars="250"/>
        <w:rPr>
          <w:rFonts w:ascii="宋体"/>
          <w:b/>
          <w:color w:val="000000"/>
          <w:sz w:val="28"/>
          <w:szCs w:val="28"/>
        </w:rPr>
      </w:pPr>
    </w:p>
    <w:p>
      <w:pPr>
        <w:pStyle w:val="16"/>
        <w:snapToGrid w:val="0"/>
        <w:spacing w:line="360" w:lineRule="auto"/>
        <w:ind w:firstLine="31680"/>
        <w:rPr>
          <w:rFonts w:ascii="仿宋" w:hAnsi="仿宋" w:eastAsia="仿宋" w:cs="Calibri"/>
          <w:bCs/>
          <w:sz w:val="28"/>
          <w:szCs w:val="28"/>
        </w:rPr>
      </w:pPr>
      <w:r>
        <w:rPr>
          <w:rFonts w:hint="eastAsia" w:ascii="仿宋" w:hAnsi="仿宋" w:eastAsia="仿宋" w:cs="Calibri"/>
          <w:bCs/>
          <w:sz w:val="28"/>
          <w:szCs w:val="28"/>
        </w:rPr>
        <w:t>根据学院《</w:t>
      </w:r>
      <w:r>
        <w:rPr>
          <w:rFonts w:hint="eastAsia" w:ascii="仿宋" w:hAnsi="仿宋" w:eastAsia="仿宋"/>
          <w:bCs/>
          <w:sz w:val="28"/>
          <w:szCs w:val="28"/>
        </w:rPr>
        <w:t>关于做好</w:t>
      </w:r>
      <w:r>
        <w:rPr>
          <w:rFonts w:ascii="仿宋" w:hAnsi="仿宋" w:eastAsia="仿宋"/>
          <w:bCs/>
          <w:sz w:val="28"/>
          <w:szCs w:val="28"/>
        </w:rPr>
        <w:t>2022</w:t>
      </w:r>
      <w:r>
        <w:rPr>
          <w:rFonts w:hint="eastAsia" w:ascii="仿宋" w:hAnsi="仿宋" w:eastAsia="仿宋"/>
          <w:bCs/>
          <w:sz w:val="28"/>
          <w:szCs w:val="28"/>
        </w:rPr>
        <w:t>年院级职业技能大赛工作的预通知</w:t>
      </w:r>
      <w:r>
        <w:rPr>
          <w:rFonts w:hint="eastAsia" w:ascii="仿宋" w:hAnsi="仿宋" w:eastAsia="仿宋" w:cs="Calibri"/>
          <w:bCs/>
          <w:sz w:val="28"/>
          <w:szCs w:val="28"/>
        </w:rPr>
        <w:t>》要求，面向全院各专业学生举办的年度性大赛，旨在提高学生职业英语口语表达能力，加强学生职业英语能力的培养，同时选拔优秀选手参加</w:t>
      </w:r>
      <w:r>
        <w:rPr>
          <w:rFonts w:ascii="仿宋" w:hAnsi="仿宋" w:eastAsia="仿宋" w:cs="Calibri"/>
          <w:bCs/>
          <w:sz w:val="28"/>
          <w:szCs w:val="28"/>
        </w:rPr>
        <w:t>2022</w:t>
      </w:r>
      <w:r>
        <w:rPr>
          <w:rFonts w:hint="eastAsia" w:ascii="仿宋" w:hAnsi="仿宋" w:eastAsia="仿宋" w:cs="Calibri"/>
          <w:bCs/>
          <w:sz w:val="28"/>
          <w:szCs w:val="28"/>
        </w:rPr>
        <w:t>年安徽省高职院校英语口语大赛。外语教研室组织教师编制本大赛方案，为组织实施本届技能大赛提供依据。</w:t>
      </w:r>
    </w:p>
    <w:p>
      <w:pPr>
        <w:pStyle w:val="16"/>
        <w:snapToGrid w:val="0"/>
        <w:spacing w:line="360" w:lineRule="auto"/>
        <w:ind w:left="643" w:firstLine="0" w:firstLineChars="0"/>
        <w:rPr>
          <w:rFonts w:ascii="仿宋" w:hAnsi="仿宋" w:eastAsia="仿宋" w:cs="Calibri"/>
          <w:b/>
          <w:sz w:val="28"/>
          <w:szCs w:val="28"/>
        </w:rPr>
      </w:pPr>
      <w:r>
        <w:rPr>
          <w:rFonts w:hint="eastAsia" w:ascii="仿宋" w:hAnsi="仿宋" w:eastAsia="仿宋" w:cs="Calibri"/>
          <w:b/>
          <w:sz w:val="28"/>
          <w:szCs w:val="28"/>
        </w:rPr>
        <w:t>一、</w:t>
      </w:r>
      <w:r>
        <w:rPr>
          <w:rFonts w:hint="eastAsia" w:ascii="仿宋" w:hAnsi="仿宋" w:eastAsia="仿宋" w:cs="Calibri"/>
          <w:b/>
          <w:bCs/>
          <w:sz w:val="28"/>
          <w:szCs w:val="28"/>
        </w:rPr>
        <w:t>赛项名称</w:t>
      </w:r>
    </w:p>
    <w:p>
      <w:pPr>
        <w:pStyle w:val="16"/>
        <w:snapToGrid w:val="0"/>
        <w:spacing w:line="360" w:lineRule="auto"/>
        <w:ind w:left="643" w:firstLine="0" w:firstLineChars="0"/>
        <w:rPr>
          <w:rFonts w:ascii="仿宋" w:hAnsi="仿宋" w:eastAsia="仿宋" w:cs="Calibri"/>
          <w:bCs/>
          <w:sz w:val="28"/>
          <w:szCs w:val="28"/>
        </w:rPr>
      </w:pPr>
      <w:r>
        <w:rPr>
          <w:rFonts w:hint="eastAsia" w:ascii="仿宋" w:hAnsi="仿宋" w:eastAsia="仿宋" w:cs="Calibri"/>
          <w:bCs/>
          <w:sz w:val="28"/>
          <w:szCs w:val="28"/>
        </w:rPr>
        <w:t>英语口语技能大赛</w:t>
      </w:r>
    </w:p>
    <w:p>
      <w:pPr>
        <w:pStyle w:val="16"/>
        <w:snapToGrid w:val="0"/>
        <w:spacing w:line="360" w:lineRule="auto"/>
        <w:ind w:left="643" w:firstLine="0" w:firstLineChars="0"/>
        <w:rPr>
          <w:rFonts w:ascii="仿宋" w:hAnsi="仿宋" w:eastAsia="仿宋" w:cs="Calibri"/>
          <w:b/>
          <w:sz w:val="28"/>
          <w:szCs w:val="28"/>
        </w:rPr>
      </w:pPr>
      <w:r>
        <w:rPr>
          <w:rFonts w:hint="eastAsia" w:ascii="仿宋" w:hAnsi="仿宋" w:eastAsia="仿宋" w:cs="Calibri"/>
          <w:b/>
          <w:sz w:val="28"/>
          <w:szCs w:val="28"/>
        </w:rPr>
        <w:t>二、竞赛分类及参赛对象</w:t>
      </w:r>
    </w:p>
    <w:p>
      <w:pPr>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大赛分为公共英语组和专业英语两个组别。</w:t>
      </w:r>
    </w:p>
    <w:p>
      <w:pPr>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1</w:t>
      </w:r>
      <w:r>
        <w:rPr>
          <w:rFonts w:hint="eastAsia" w:ascii="仿宋" w:hAnsi="仿宋" w:eastAsia="仿宋" w:cs="Calibri"/>
          <w:bCs/>
          <w:sz w:val="28"/>
          <w:szCs w:val="28"/>
        </w:rPr>
        <w:t>、公共英语组</w:t>
      </w:r>
    </w:p>
    <w:p>
      <w:pPr>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报名面向全院各非英语专业学生，在全面考察的基础上由各班英语教师推荐人选，人数不超过</w:t>
      </w:r>
      <w:r>
        <w:rPr>
          <w:rFonts w:ascii="仿宋" w:hAnsi="仿宋" w:eastAsia="仿宋" w:cs="Calibri"/>
          <w:bCs/>
          <w:sz w:val="28"/>
          <w:szCs w:val="28"/>
        </w:rPr>
        <w:t>50</w:t>
      </w:r>
      <w:r>
        <w:rPr>
          <w:rFonts w:hint="eastAsia" w:ascii="仿宋" w:hAnsi="仿宋" w:eastAsia="仿宋" w:cs="Calibri"/>
          <w:bCs/>
          <w:sz w:val="28"/>
          <w:szCs w:val="28"/>
        </w:rPr>
        <w:t>人。</w:t>
      </w:r>
    </w:p>
    <w:p>
      <w:pPr>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2</w:t>
      </w:r>
      <w:r>
        <w:rPr>
          <w:rFonts w:hint="eastAsia" w:ascii="仿宋" w:hAnsi="仿宋" w:eastAsia="仿宋" w:cs="Calibri"/>
          <w:bCs/>
          <w:sz w:val="28"/>
          <w:szCs w:val="28"/>
        </w:rPr>
        <w:t>、专业英语组</w:t>
      </w:r>
    </w:p>
    <w:p>
      <w:pPr>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报名面向院商务英语专业的学生，在全面考察的基础上由所在班级的英语教师推荐人选，人数不超过</w:t>
      </w:r>
      <w:r>
        <w:rPr>
          <w:rFonts w:ascii="仿宋" w:hAnsi="仿宋" w:eastAsia="仿宋" w:cs="Calibri"/>
          <w:bCs/>
          <w:sz w:val="28"/>
          <w:szCs w:val="28"/>
        </w:rPr>
        <w:t>20</w:t>
      </w:r>
      <w:r>
        <w:rPr>
          <w:rFonts w:hint="eastAsia" w:ascii="仿宋" w:hAnsi="仿宋" w:eastAsia="仿宋" w:cs="Calibri"/>
          <w:bCs/>
          <w:sz w:val="28"/>
          <w:szCs w:val="28"/>
        </w:rPr>
        <w:t>人。</w:t>
      </w:r>
    </w:p>
    <w:p>
      <w:pPr>
        <w:pStyle w:val="16"/>
        <w:snapToGrid w:val="0"/>
        <w:spacing w:line="360" w:lineRule="auto"/>
        <w:ind w:left="643" w:firstLine="0" w:firstLineChars="0"/>
        <w:rPr>
          <w:rFonts w:ascii="仿宋" w:hAnsi="仿宋" w:eastAsia="仿宋" w:cs="Calibri"/>
          <w:b/>
          <w:sz w:val="28"/>
          <w:szCs w:val="28"/>
        </w:rPr>
      </w:pPr>
      <w:r>
        <w:rPr>
          <w:rFonts w:hint="eastAsia" w:ascii="仿宋" w:hAnsi="仿宋" w:eastAsia="仿宋" w:cs="Calibri"/>
          <w:b/>
          <w:sz w:val="28"/>
          <w:szCs w:val="28"/>
        </w:rPr>
        <w:t>三、赛前准备</w:t>
      </w:r>
    </w:p>
    <w:p>
      <w:pPr>
        <w:widowControl/>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1</w:t>
      </w:r>
      <w:r>
        <w:rPr>
          <w:rFonts w:hint="eastAsia" w:ascii="仿宋" w:hAnsi="仿宋" w:eastAsia="仿宋" w:cs="Calibri"/>
          <w:bCs/>
          <w:sz w:val="28"/>
          <w:szCs w:val="28"/>
        </w:rPr>
        <w:t>、抽签</w:t>
      </w: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各组别的参赛选手通过抽签确定参赛顺序。抽签秉承“公开、公平、公正”的原则，按照赛项的具体抽签时间，赛项执委会将首先点名确认每一位参赛选手已到场（由于特殊原因无法到场的参赛选手须提前告知赛项执委会并出具由本人亲笔签名的书面委托书，指定其代理人代为抽签并声明承认抽签结果有效）。没有按时到场抽签，或无故缺席抽签环节的选手，将视为自动放弃抽签，其抽签结果由赛项执委会在优先安排其他选手抽签之后决定。</w:t>
      </w:r>
    </w:p>
    <w:p>
      <w:pPr>
        <w:widowControl/>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2</w:t>
      </w:r>
      <w:r>
        <w:rPr>
          <w:rFonts w:hint="eastAsia" w:ascii="仿宋" w:hAnsi="仿宋" w:eastAsia="仿宋" w:cs="Calibri"/>
          <w:bCs/>
          <w:sz w:val="28"/>
          <w:szCs w:val="28"/>
        </w:rPr>
        <w:t>、参赛选手入场</w:t>
      </w: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参赛选手应提前</w:t>
      </w:r>
      <w:r>
        <w:rPr>
          <w:rFonts w:ascii="仿宋" w:hAnsi="仿宋" w:eastAsia="仿宋" w:cs="Calibri"/>
          <w:bCs/>
          <w:sz w:val="28"/>
          <w:szCs w:val="28"/>
        </w:rPr>
        <w:t>15</w:t>
      </w:r>
      <w:r>
        <w:rPr>
          <w:rFonts w:hint="eastAsia" w:ascii="仿宋" w:hAnsi="仿宋" w:eastAsia="仿宋" w:cs="Calibri"/>
          <w:bCs/>
          <w:sz w:val="28"/>
          <w:szCs w:val="28"/>
        </w:rPr>
        <w:t>分钟到达赛场，并凭参赛证、</w:t>
      </w:r>
      <w:r>
        <w:rPr>
          <w:rFonts w:hint="eastAsia" w:ascii="仿宋" w:hAnsi="仿宋" w:eastAsia="仿宋" w:cs="Calibri"/>
          <w:bCs/>
          <w:sz w:val="28"/>
          <w:szCs w:val="28"/>
          <w:lang w:val="en-US" w:eastAsia="zh-CN"/>
        </w:rPr>
        <w:t>学生证、</w:t>
      </w:r>
      <w:r>
        <w:rPr>
          <w:rFonts w:hint="eastAsia" w:ascii="仿宋" w:hAnsi="仿宋" w:eastAsia="仿宋" w:cs="Calibri"/>
          <w:bCs/>
          <w:sz w:val="28"/>
          <w:szCs w:val="28"/>
        </w:rPr>
        <w:t>身份证检录，按要求入场，不得迟到早退，未按照规定时间到场视为自动放弃比赛。之后在候赛室等候，由引导员核对参赛选手信息。严禁参赛选手携带与竞赛无关的电子设备、通讯设备及其他相关资料与用品入场。</w:t>
      </w:r>
    </w:p>
    <w:p>
      <w:pPr>
        <w:pStyle w:val="16"/>
        <w:snapToGrid w:val="0"/>
        <w:spacing w:line="360" w:lineRule="auto"/>
        <w:ind w:left="643" w:firstLine="0" w:firstLineChars="0"/>
        <w:rPr>
          <w:rFonts w:ascii="仿宋" w:hAnsi="仿宋" w:eastAsia="仿宋" w:cs="Calibri"/>
          <w:b/>
          <w:sz w:val="28"/>
          <w:szCs w:val="28"/>
        </w:rPr>
      </w:pPr>
      <w:r>
        <w:rPr>
          <w:rFonts w:hint="eastAsia" w:ascii="仿宋" w:hAnsi="仿宋" w:eastAsia="仿宋" w:cs="Calibri"/>
          <w:b/>
          <w:sz w:val="28"/>
          <w:szCs w:val="28"/>
        </w:rPr>
        <w:t>四、竞赛时间和地点</w:t>
      </w: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竞赛时间初步定在</w:t>
      </w:r>
      <w:r>
        <w:rPr>
          <w:rFonts w:ascii="仿宋" w:hAnsi="仿宋" w:eastAsia="仿宋" w:cs="Arial"/>
          <w:color w:val="000000"/>
          <w:sz w:val="28"/>
          <w:szCs w:val="28"/>
        </w:rPr>
        <w:t>2022</w:t>
      </w:r>
      <w:r>
        <w:rPr>
          <w:rFonts w:hint="eastAsia" w:ascii="仿宋" w:hAnsi="仿宋" w:eastAsia="仿宋" w:cs="Arial"/>
          <w:color w:val="000000"/>
          <w:sz w:val="28"/>
          <w:szCs w:val="28"/>
        </w:rPr>
        <w:t>年</w:t>
      </w:r>
      <w:r>
        <w:rPr>
          <w:rFonts w:hint="eastAsia" w:ascii="仿宋" w:hAnsi="仿宋" w:eastAsia="仿宋" w:cs="Arial"/>
          <w:color w:val="000000"/>
          <w:sz w:val="28"/>
          <w:szCs w:val="28"/>
          <w:lang w:val="en-US" w:eastAsia="zh-CN"/>
        </w:rPr>
        <w:t>5</w:t>
      </w:r>
      <w:r>
        <w:rPr>
          <w:rFonts w:hint="eastAsia" w:ascii="仿宋" w:hAnsi="仿宋" w:eastAsia="仿宋" w:cs="Arial"/>
          <w:color w:val="000000"/>
          <w:sz w:val="28"/>
          <w:szCs w:val="28"/>
        </w:rPr>
        <w:t>月</w:t>
      </w:r>
      <w:r>
        <w:rPr>
          <w:rFonts w:hint="eastAsia" w:ascii="仿宋" w:hAnsi="仿宋" w:eastAsia="仿宋" w:cs="Arial"/>
          <w:color w:val="000000"/>
          <w:sz w:val="28"/>
          <w:szCs w:val="28"/>
          <w:lang w:val="en-US" w:eastAsia="zh-CN"/>
        </w:rPr>
        <w:t>25日</w:t>
      </w:r>
      <w:r>
        <w:rPr>
          <w:rFonts w:hint="eastAsia" w:ascii="仿宋" w:hAnsi="仿宋" w:eastAsia="仿宋" w:cs="Calibri"/>
          <w:bCs/>
          <w:sz w:val="28"/>
          <w:szCs w:val="28"/>
        </w:rPr>
        <w:t>，考场设在尚智楼。</w:t>
      </w:r>
    </w:p>
    <w:p>
      <w:pPr>
        <w:pStyle w:val="16"/>
        <w:snapToGrid w:val="0"/>
        <w:spacing w:line="360" w:lineRule="auto"/>
        <w:ind w:left="643" w:firstLine="0" w:firstLineChars="0"/>
        <w:rPr>
          <w:rFonts w:ascii="仿宋" w:hAnsi="仿宋" w:eastAsia="仿宋" w:cs="Calibri"/>
          <w:b/>
          <w:sz w:val="28"/>
          <w:szCs w:val="28"/>
        </w:rPr>
      </w:pPr>
      <w:r>
        <w:rPr>
          <w:rFonts w:hint="eastAsia" w:ascii="仿宋" w:hAnsi="仿宋" w:eastAsia="仿宋" w:cs="Calibri"/>
          <w:b/>
          <w:sz w:val="28"/>
          <w:szCs w:val="28"/>
        </w:rPr>
        <w:t>五、竞赛内容</w:t>
      </w: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竞赛共包含</w:t>
      </w:r>
      <w:r>
        <w:rPr>
          <w:rFonts w:ascii="仿宋" w:hAnsi="仿宋" w:eastAsia="仿宋" w:cs="Calibri"/>
          <w:bCs/>
          <w:sz w:val="28"/>
          <w:szCs w:val="28"/>
        </w:rPr>
        <w:t>2</w:t>
      </w:r>
      <w:r>
        <w:rPr>
          <w:rFonts w:hint="eastAsia" w:ascii="仿宋" w:hAnsi="仿宋" w:eastAsia="仿宋" w:cs="Calibri"/>
          <w:bCs/>
          <w:sz w:val="28"/>
          <w:szCs w:val="28"/>
        </w:rPr>
        <w:t>个项目：</w:t>
      </w:r>
    </w:p>
    <w:p>
      <w:pPr>
        <w:widowControl/>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1</w:t>
      </w:r>
      <w:r>
        <w:rPr>
          <w:rFonts w:hint="eastAsia" w:ascii="仿宋" w:hAnsi="仿宋" w:eastAsia="仿宋" w:cs="Calibri"/>
          <w:bCs/>
          <w:sz w:val="28"/>
          <w:szCs w:val="28"/>
        </w:rPr>
        <w:t>、“朗读发言”（</w:t>
      </w:r>
      <w:r>
        <w:rPr>
          <w:rFonts w:ascii="仿宋" w:hAnsi="仿宋" w:eastAsia="仿宋" w:cs="Calibri"/>
          <w:bCs/>
          <w:sz w:val="28"/>
          <w:szCs w:val="28"/>
        </w:rPr>
        <w:t>Reading aloud</w:t>
      </w:r>
      <w:r>
        <w:rPr>
          <w:rFonts w:hint="eastAsia" w:ascii="仿宋" w:hAnsi="仿宋" w:eastAsia="仿宋" w:cs="Calibri"/>
          <w:bCs/>
          <w:sz w:val="28"/>
          <w:szCs w:val="28"/>
        </w:rPr>
        <w:t>）</w:t>
      </w:r>
      <w:bookmarkStart w:id="0" w:name="_GoBack"/>
      <w:bookmarkEnd w:id="0"/>
    </w:p>
    <w:p>
      <w:pPr>
        <w:widowControl/>
        <w:spacing w:line="360" w:lineRule="auto"/>
        <w:ind w:firstLine="420" w:firstLineChars="150"/>
        <w:rPr>
          <w:rFonts w:ascii="仿宋" w:hAnsi="仿宋" w:eastAsia="仿宋" w:cs="Calibri"/>
          <w:bCs/>
          <w:sz w:val="28"/>
          <w:szCs w:val="28"/>
        </w:rPr>
      </w:pPr>
      <w:r>
        <w:rPr>
          <w:rFonts w:hint="eastAsia" w:ascii="仿宋" w:hAnsi="仿宋" w:eastAsia="仿宋" w:cs="Calibri"/>
          <w:bCs/>
          <w:sz w:val="28"/>
          <w:szCs w:val="28"/>
        </w:rPr>
        <w:t>参赛选手抽取一份发言稿，然后对着原稿大声朗读。每位参赛选手用时不超过</w:t>
      </w:r>
      <w:r>
        <w:rPr>
          <w:rFonts w:ascii="仿宋" w:hAnsi="仿宋" w:eastAsia="仿宋" w:cs="Calibri"/>
          <w:bCs/>
          <w:sz w:val="28"/>
          <w:szCs w:val="28"/>
        </w:rPr>
        <w:t>2</w:t>
      </w:r>
      <w:r>
        <w:rPr>
          <w:rFonts w:hint="eastAsia" w:ascii="仿宋" w:hAnsi="仿宋" w:eastAsia="仿宋" w:cs="Calibri"/>
          <w:bCs/>
          <w:sz w:val="28"/>
          <w:szCs w:val="28"/>
        </w:rPr>
        <w:t>分钟</w:t>
      </w:r>
      <w:r>
        <w:rPr>
          <w:rFonts w:ascii="仿宋" w:hAnsi="仿宋" w:eastAsia="仿宋" w:cs="Calibri"/>
          <w:bCs/>
          <w:sz w:val="28"/>
          <w:szCs w:val="28"/>
        </w:rPr>
        <w:t>.</w:t>
      </w:r>
    </w:p>
    <w:p>
      <w:pPr>
        <w:widowControl/>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2</w:t>
      </w:r>
      <w:r>
        <w:rPr>
          <w:rFonts w:hint="eastAsia" w:ascii="仿宋" w:hAnsi="仿宋" w:eastAsia="仿宋" w:cs="Calibri"/>
          <w:bCs/>
          <w:sz w:val="28"/>
          <w:szCs w:val="28"/>
        </w:rPr>
        <w:t>、“职场描述”（</w:t>
      </w:r>
      <w:r>
        <w:rPr>
          <w:rFonts w:ascii="仿宋" w:hAnsi="仿宋" w:eastAsia="仿宋" w:cs="Calibri"/>
          <w:bCs/>
          <w:sz w:val="28"/>
          <w:szCs w:val="28"/>
        </w:rPr>
        <w:t>Presentation</w:t>
      </w:r>
      <w:r>
        <w:rPr>
          <w:rFonts w:hint="eastAsia" w:ascii="仿宋" w:hAnsi="仿宋" w:eastAsia="仿宋" w:cs="Calibri"/>
          <w:bCs/>
          <w:sz w:val="28"/>
          <w:szCs w:val="28"/>
        </w:rPr>
        <w:t>）</w:t>
      </w: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参赛选手抽取一幅反映行业</w:t>
      </w:r>
      <w:r>
        <w:rPr>
          <w:rFonts w:ascii="仿宋" w:hAnsi="仿宋" w:eastAsia="仿宋" w:cs="Calibri"/>
          <w:bCs/>
          <w:sz w:val="28"/>
          <w:szCs w:val="28"/>
        </w:rPr>
        <w:t>/</w:t>
      </w:r>
      <w:r>
        <w:rPr>
          <w:rFonts w:hint="eastAsia" w:ascii="仿宋" w:hAnsi="仿宋" w:eastAsia="仿宋" w:cs="Calibri"/>
          <w:bCs/>
          <w:sz w:val="28"/>
          <w:szCs w:val="28"/>
        </w:rPr>
        <w:t>企业业务发展或社会、经济等热点问题的统计图表或图片，根据给出的说明，在充分理解图内容的基础上对其进行口头描述和观点阐述。每位参赛选手用时不超过</w:t>
      </w:r>
      <w:r>
        <w:rPr>
          <w:rFonts w:ascii="仿宋" w:hAnsi="仿宋" w:eastAsia="仿宋" w:cs="Calibri"/>
          <w:bCs/>
          <w:sz w:val="28"/>
          <w:szCs w:val="28"/>
        </w:rPr>
        <w:t>3</w:t>
      </w:r>
      <w:r>
        <w:rPr>
          <w:rFonts w:hint="eastAsia" w:ascii="仿宋" w:hAnsi="仿宋" w:eastAsia="仿宋" w:cs="Calibri"/>
          <w:bCs/>
          <w:sz w:val="28"/>
          <w:szCs w:val="28"/>
        </w:rPr>
        <w:t>分钟。</w:t>
      </w:r>
    </w:p>
    <w:p>
      <w:pPr>
        <w:pStyle w:val="16"/>
        <w:snapToGrid w:val="0"/>
        <w:spacing w:line="360" w:lineRule="auto"/>
        <w:ind w:left="643" w:firstLine="0" w:firstLineChars="0"/>
        <w:rPr>
          <w:rFonts w:ascii="仿宋" w:hAnsi="仿宋" w:eastAsia="仿宋" w:cs="Calibri"/>
          <w:b/>
          <w:sz w:val="28"/>
          <w:szCs w:val="28"/>
        </w:rPr>
      </w:pPr>
      <w:r>
        <w:rPr>
          <w:rFonts w:hint="eastAsia" w:ascii="仿宋" w:hAnsi="仿宋" w:eastAsia="仿宋" w:cs="Calibri"/>
          <w:b/>
          <w:sz w:val="28"/>
          <w:szCs w:val="28"/>
        </w:rPr>
        <w:t>六、竞赛评委选聘</w:t>
      </w:r>
    </w:p>
    <w:p>
      <w:pPr>
        <w:snapToGrid w:val="0"/>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此次比赛共设评委</w:t>
      </w:r>
      <w:r>
        <w:rPr>
          <w:rFonts w:ascii="仿宋" w:hAnsi="仿宋" w:eastAsia="仿宋" w:cs="Calibri"/>
          <w:bCs/>
          <w:sz w:val="28"/>
          <w:szCs w:val="28"/>
        </w:rPr>
        <w:t>5</w:t>
      </w:r>
      <w:r>
        <w:rPr>
          <w:rFonts w:hint="eastAsia" w:ascii="仿宋" w:hAnsi="仿宋" w:eastAsia="仿宋" w:cs="Calibri"/>
          <w:bCs/>
          <w:sz w:val="28"/>
          <w:szCs w:val="28"/>
        </w:rPr>
        <w:t>人，由教育系外语教研室选派专业教师担任。</w:t>
      </w:r>
    </w:p>
    <w:p>
      <w:pPr>
        <w:pStyle w:val="16"/>
        <w:snapToGrid w:val="0"/>
        <w:spacing w:line="360" w:lineRule="auto"/>
        <w:ind w:left="643" w:firstLine="0" w:firstLineChars="0"/>
        <w:rPr>
          <w:rFonts w:ascii="仿宋" w:hAnsi="仿宋" w:eastAsia="仿宋" w:cs="Calibri"/>
          <w:b/>
          <w:sz w:val="28"/>
          <w:szCs w:val="28"/>
        </w:rPr>
      </w:pPr>
      <w:r>
        <w:rPr>
          <w:rFonts w:hint="eastAsia" w:ascii="仿宋" w:hAnsi="仿宋" w:eastAsia="仿宋" w:cs="Calibri"/>
          <w:b/>
          <w:sz w:val="28"/>
          <w:szCs w:val="28"/>
        </w:rPr>
        <w:t>七、竞赛评分标准</w:t>
      </w:r>
    </w:p>
    <w:p>
      <w:pPr>
        <w:widowControl/>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1.</w:t>
      </w:r>
      <w:r>
        <w:rPr>
          <w:rFonts w:hint="eastAsia" w:ascii="仿宋" w:hAnsi="仿宋" w:eastAsia="仿宋" w:cs="Calibri"/>
          <w:bCs/>
          <w:sz w:val="28"/>
          <w:szCs w:val="28"/>
        </w:rPr>
        <w:t>分值分配</w:t>
      </w: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比赛分“朗读发言”、“职场描述”</w:t>
      </w:r>
      <w:r>
        <w:rPr>
          <w:rFonts w:ascii="仿宋" w:hAnsi="仿宋" w:eastAsia="仿宋" w:cs="Calibri"/>
          <w:bCs/>
          <w:sz w:val="28"/>
          <w:szCs w:val="28"/>
        </w:rPr>
        <w:t>2</w:t>
      </w:r>
      <w:r>
        <w:rPr>
          <w:rFonts w:hint="eastAsia" w:ascii="仿宋" w:hAnsi="仿宋" w:eastAsia="仿宋" w:cs="Calibri"/>
          <w:bCs/>
          <w:sz w:val="28"/>
          <w:szCs w:val="28"/>
        </w:rPr>
        <w:t>个项目，每个项目满分均为</w:t>
      </w:r>
      <w:r>
        <w:rPr>
          <w:rFonts w:ascii="仿宋" w:hAnsi="仿宋" w:eastAsia="仿宋" w:cs="Calibri"/>
          <w:bCs/>
          <w:sz w:val="28"/>
          <w:szCs w:val="28"/>
        </w:rPr>
        <w:t>50</w:t>
      </w:r>
      <w:r>
        <w:rPr>
          <w:rFonts w:hint="eastAsia" w:ascii="仿宋" w:hAnsi="仿宋" w:eastAsia="仿宋" w:cs="Calibri"/>
          <w:bCs/>
          <w:sz w:val="28"/>
          <w:szCs w:val="28"/>
        </w:rPr>
        <w:t>分。</w:t>
      </w:r>
    </w:p>
    <w:p>
      <w:pPr>
        <w:widowControl/>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2.</w:t>
      </w:r>
      <w:r>
        <w:rPr>
          <w:rFonts w:hint="eastAsia" w:ascii="仿宋" w:hAnsi="仿宋" w:eastAsia="仿宋" w:cs="Calibri"/>
          <w:bCs/>
          <w:sz w:val="28"/>
          <w:szCs w:val="28"/>
        </w:rPr>
        <w:t>计分方法</w:t>
      </w: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选手最后得分是：去掉一个最高分、去掉一个最低分再计算出平均分（保留两位小数）。</w:t>
      </w:r>
    </w:p>
    <w:p>
      <w:pPr>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3.</w:t>
      </w:r>
      <w:r>
        <w:rPr>
          <w:rFonts w:hint="eastAsia" w:ascii="仿宋" w:hAnsi="仿宋" w:eastAsia="仿宋" w:cs="Calibri"/>
          <w:bCs/>
          <w:sz w:val="28"/>
          <w:szCs w:val="28"/>
        </w:rPr>
        <w:t>评分标准</w:t>
      </w: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本赛项为裁判现场给分。根据不同比赛内容，从“内容、条理、语言、举止、协作、表现力”等多方面进行评定。</w:t>
      </w: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w:t>
      </w:r>
      <w:r>
        <w:rPr>
          <w:rFonts w:ascii="仿宋" w:hAnsi="仿宋" w:eastAsia="仿宋" w:cs="Calibri"/>
          <w:bCs/>
          <w:sz w:val="28"/>
          <w:szCs w:val="28"/>
        </w:rPr>
        <w:t>1</w:t>
      </w:r>
      <w:r>
        <w:rPr>
          <w:rFonts w:hint="eastAsia" w:ascii="仿宋" w:hAnsi="仿宋" w:eastAsia="仿宋" w:cs="Calibri"/>
          <w:bCs/>
          <w:sz w:val="28"/>
          <w:szCs w:val="28"/>
        </w:rPr>
        <w:t>）“朗读发言”</w:t>
      </w:r>
    </w:p>
    <w:p>
      <w:pPr>
        <w:widowControl/>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45—50</w:t>
      </w:r>
      <w:r>
        <w:rPr>
          <w:rFonts w:hint="eastAsia" w:ascii="仿宋" w:hAnsi="仿宋" w:eastAsia="仿宋" w:cs="Calibri"/>
          <w:bCs/>
          <w:sz w:val="28"/>
          <w:szCs w:val="28"/>
        </w:rPr>
        <w:t>分（含）：内容完整；口齿清晰，发音标准，地道纯正，断句准确，表达流畅，富有感染力；举止大方、得体。</w:t>
      </w:r>
    </w:p>
    <w:p>
      <w:pPr>
        <w:widowControl/>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40—45</w:t>
      </w:r>
      <w:r>
        <w:rPr>
          <w:rFonts w:hint="eastAsia" w:ascii="仿宋" w:hAnsi="仿宋" w:eastAsia="仿宋" w:cs="Calibri"/>
          <w:bCs/>
          <w:sz w:val="28"/>
          <w:szCs w:val="28"/>
        </w:rPr>
        <w:t>分（含）：内容完整；口齿清晰，发音标准，比较地道，断句准确，表达流畅，没有感染力；举止大方、得体。</w:t>
      </w:r>
    </w:p>
    <w:p>
      <w:pPr>
        <w:widowControl/>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35—40</w:t>
      </w:r>
      <w:r>
        <w:rPr>
          <w:rFonts w:hint="eastAsia" w:ascii="仿宋" w:hAnsi="仿宋" w:eastAsia="仿宋" w:cs="Calibri"/>
          <w:bCs/>
          <w:sz w:val="28"/>
          <w:szCs w:val="28"/>
        </w:rPr>
        <w:t>分（含）：内容完整；口齿清晰，发音标准，断句稍欠准确，表达不够流畅；举止得体。</w:t>
      </w:r>
    </w:p>
    <w:p>
      <w:pPr>
        <w:widowControl/>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30—35</w:t>
      </w:r>
      <w:r>
        <w:rPr>
          <w:rFonts w:hint="eastAsia" w:ascii="仿宋" w:hAnsi="仿宋" w:eastAsia="仿宋" w:cs="Calibri"/>
          <w:bCs/>
          <w:sz w:val="28"/>
          <w:szCs w:val="28"/>
        </w:rPr>
        <w:t>分（含）：内容完整；发音不够标准，断句错误，表达不够流畅；举止不够得体。</w:t>
      </w:r>
    </w:p>
    <w:p>
      <w:pPr>
        <w:widowControl/>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25—30</w:t>
      </w:r>
      <w:r>
        <w:rPr>
          <w:rFonts w:hint="eastAsia" w:ascii="仿宋" w:hAnsi="仿宋" w:eastAsia="仿宋" w:cs="Calibri"/>
          <w:bCs/>
          <w:sz w:val="28"/>
          <w:szCs w:val="28"/>
        </w:rPr>
        <w:t>分（含）：内容不够完整；口齿不清，发音不准，方言太重，断句不准确，表达不够流畅；肢体语言欠缺。</w:t>
      </w:r>
    </w:p>
    <w:p>
      <w:pPr>
        <w:widowControl/>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w:t>
      </w:r>
      <w:r>
        <w:rPr>
          <w:rFonts w:ascii="仿宋" w:hAnsi="仿宋" w:eastAsia="仿宋" w:cs="Calibri"/>
          <w:bCs/>
          <w:sz w:val="28"/>
          <w:szCs w:val="28"/>
        </w:rPr>
        <w:t>2</w:t>
      </w:r>
      <w:r>
        <w:rPr>
          <w:rFonts w:hint="eastAsia" w:ascii="仿宋" w:hAnsi="仿宋" w:eastAsia="仿宋" w:cs="Calibri"/>
          <w:bCs/>
          <w:sz w:val="28"/>
          <w:szCs w:val="28"/>
        </w:rPr>
        <w:t>）“职场描述”</w:t>
      </w:r>
    </w:p>
    <w:p>
      <w:pPr>
        <w:widowControl/>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45—50</w:t>
      </w:r>
      <w:r>
        <w:rPr>
          <w:rFonts w:hint="eastAsia" w:ascii="仿宋" w:hAnsi="仿宋" w:eastAsia="仿宋" w:cs="Calibri"/>
          <w:bCs/>
          <w:sz w:val="28"/>
          <w:szCs w:val="28"/>
        </w:rPr>
        <w:t>分（含）：内容完整、充实，能就主题进行充分发挥；逻辑性强，条理清晰，表达流畅；语言丰富，使用准确；举止大方、得体。</w:t>
      </w:r>
    </w:p>
    <w:p>
      <w:pPr>
        <w:widowControl/>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40—45</w:t>
      </w:r>
      <w:r>
        <w:rPr>
          <w:rFonts w:hint="eastAsia" w:ascii="仿宋" w:hAnsi="仿宋" w:eastAsia="仿宋" w:cs="Calibri"/>
          <w:bCs/>
          <w:sz w:val="28"/>
          <w:szCs w:val="28"/>
        </w:rPr>
        <w:t>分（含）：内容完整、充实，能就主题进行一定的发挥；逻辑性较强，条理清晰，表达比较流畅；语言较丰富，使用正确；举止得体。</w:t>
      </w:r>
    </w:p>
    <w:p>
      <w:pPr>
        <w:widowControl/>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35—40</w:t>
      </w:r>
      <w:r>
        <w:rPr>
          <w:rFonts w:hint="eastAsia" w:ascii="仿宋" w:hAnsi="仿宋" w:eastAsia="仿宋" w:cs="Calibri"/>
          <w:bCs/>
          <w:sz w:val="28"/>
          <w:szCs w:val="28"/>
        </w:rPr>
        <w:t>分（含）：内容完整；逻辑性较强，条理比较清晰，表达基本流畅；使用语言基本正确；举止较为得体。</w:t>
      </w:r>
    </w:p>
    <w:p>
      <w:pPr>
        <w:widowControl/>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30—35</w:t>
      </w:r>
      <w:r>
        <w:rPr>
          <w:rFonts w:hint="eastAsia" w:ascii="仿宋" w:hAnsi="仿宋" w:eastAsia="仿宋" w:cs="Calibri"/>
          <w:bCs/>
          <w:sz w:val="28"/>
          <w:szCs w:val="28"/>
        </w:rPr>
        <w:t>分（含）：内容基本完整；条理比较清晰；使用语言基本正确；举止大致得体。</w:t>
      </w:r>
    </w:p>
    <w:p>
      <w:pPr>
        <w:widowControl/>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25—30</w:t>
      </w:r>
      <w:r>
        <w:rPr>
          <w:rFonts w:hint="eastAsia" w:ascii="仿宋" w:hAnsi="仿宋" w:eastAsia="仿宋" w:cs="Calibri"/>
          <w:bCs/>
          <w:sz w:val="28"/>
          <w:szCs w:val="28"/>
        </w:rPr>
        <w:t>分（含）：内容基本完整；表达尚连贯；使用语言尚正确；举止欠佳。</w:t>
      </w:r>
    </w:p>
    <w:p>
      <w:pPr>
        <w:pStyle w:val="16"/>
        <w:snapToGrid w:val="0"/>
        <w:spacing w:line="360" w:lineRule="auto"/>
        <w:ind w:left="643" w:firstLine="0" w:firstLineChars="0"/>
        <w:rPr>
          <w:rFonts w:ascii="仿宋" w:hAnsi="仿宋" w:eastAsia="仿宋" w:cs="Calibri"/>
          <w:b/>
          <w:sz w:val="28"/>
          <w:szCs w:val="28"/>
        </w:rPr>
      </w:pPr>
      <w:r>
        <w:rPr>
          <w:rFonts w:hint="eastAsia" w:ascii="仿宋" w:hAnsi="仿宋" w:eastAsia="仿宋" w:cs="Calibri"/>
          <w:b/>
          <w:sz w:val="28"/>
          <w:szCs w:val="28"/>
        </w:rPr>
        <w:t>八、奖励</w:t>
      </w:r>
    </w:p>
    <w:p>
      <w:pPr>
        <w:adjustRightInd w:val="0"/>
        <w:snapToGrid w:val="0"/>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比赛设公共英语组和专业英语组奖项。参赛人数在</w:t>
      </w:r>
      <w:r>
        <w:rPr>
          <w:rFonts w:ascii="仿宋" w:hAnsi="仿宋" w:eastAsia="仿宋" w:cs="Calibri"/>
          <w:bCs/>
          <w:sz w:val="28"/>
          <w:szCs w:val="28"/>
        </w:rPr>
        <w:t>6-10(</w:t>
      </w:r>
      <w:r>
        <w:rPr>
          <w:rFonts w:hint="eastAsia" w:ascii="仿宋" w:hAnsi="仿宋" w:eastAsia="仿宋" w:cs="Calibri"/>
          <w:bCs/>
          <w:sz w:val="28"/>
          <w:szCs w:val="28"/>
        </w:rPr>
        <w:t>含</w:t>
      </w:r>
      <w:r>
        <w:rPr>
          <w:rFonts w:ascii="仿宋" w:hAnsi="仿宋" w:eastAsia="仿宋" w:cs="Calibri"/>
          <w:bCs/>
          <w:sz w:val="28"/>
          <w:szCs w:val="28"/>
        </w:rPr>
        <w:t>10</w:t>
      </w:r>
      <w:r>
        <w:rPr>
          <w:rFonts w:hint="eastAsia" w:ascii="仿宋" w:hAnsi="仿宋" w:eastAsia="仿宋" w:cs="Calibri"/>
          <w:bCs/>
          <w:sz w:val="28"/>
          <w:szCs w:val="28"/>
        </w:rPr>
        <w:t>人</w:t>
      </w:r>
      <w:r>
        <w:rPr>
          <w:rFonts w:ascii="仿宋" w:hAnsi="仿宋" w:eastAsia="仿宋" w:cs="Calibri"/>
          <w:bCs/>
          <w:sz w:val="28"/>
          <w:szCs w:val="28"/>
        </w:rPr>
        <w:t>)</w:t>
      </w:r>
      <w:r>
        <w:rPr>
          <w:rFonts w:hint="eastAsia" w:ascii="仿宋" w:hAnsi="仿宋" w:eastAsia="仿宋" w:cs="Calibri"/>
          <w:bCs/>
          <w:sz w:val="28"/>
          <w:szCs w:val="28"/>
        </w:rPr>
        <w:t>人</w:t>
      </w:r>
      <w:r>
        <w:rPr>
          <w:rFonts w:ascii="仿宋" w:hAnsi="仿宋" w:eastAsia="仿宋" w:cs="Calibri"/>
          <w:bCs/>
          <w:sz w:val="28"/>
          <w:szCs w:val="28"/>
        </w:rPr>
        <w:t>,</w:t>
      </w:r>
      <w:r>
        <w:rPr>
          <w:rFonts w:hint="eastAsia" w:ascii="仿宋" w:hAnsi="仿宋" w:eastAsia="仿宋" w:cs="Calibri"/>
          <w:bCs/>
          <w:sz w:val="28"/>
          <w:szCs w:val="28"/>
        </w:rPr>
        <w:t>设置一等奖</w:t>
      </w:r>
      <w:r>
        <w:rPr>
          <w:rFonts w:ascii="仿宋" w:hAnsi="仿宋" w:eastAsia="仿宋" w:cs="Calibri"/>
          <w:bCs/>
          <w:sz w:val="28"/>
          <w:szCs w:val="28"/>
        </w:rPr>
        <w:t>1</w:t>
      </w:r>
      <w:r>
        <w:rPr>
          <w:rFonts w:hint="eastAsia" w:ascii="仿宋" w:hAnsi="仿宋" w:eastAsia="仿宋" w:cs="Calibri"/>
          <w:bCs/>
          <w:sz w:val="28"/>
          <w:szCs w:val="28"/>
        </w:rPr>
        <w:t>名，二等奖</w:t>
      </w:r>
      <w:r>
        <w:rPr>
          <w:rFonts w:ascii="仿宋" w:hAnsi="仿宋" w:eastAsia="仿宋" w:cs="Calibri"/>
          <w:bCs/>
          <w:sz w:val="28"/>
          <w:szCs w:val="28"/>
        </w:rPr>
        <w:t>2</w:t>
      </w:r>
      <w:r>
        <w:rPr>
          <w:rFonts w:hint="eastAsia" w:ascii="仿宋" w:hAnsi="仿宋" w:eastAsia="仿宋" w:cs="Calibri"/>
          <w:bCs/>
          <w:sz w:val="28"/>
          <w:szCs w:val="28"/>
        </w:rPr>
        <w:t>名，三等奖</w:t>
      </w:r>
      <w:r>
        <w:rPr>
          <w:rFonts w:ascii="仿宋" w:hAnsi="仿宋" w:eastAsia="仿宋" w:cs="Calibri"/>
          <w:bCs/>
          <w:sz w:val="28"/>
          <w:szCs w:val="28"/>
        </w:rPr>
        <w:t>3</w:t>
      </w:r>
      <w:r>
        <w:rPr>
          <w:rFonts w:hint="eastAsia" w:ascii="仿宋" w:hAnsi="仿宋" w:eastAsia="仿宋" w:cs="Calibri"/>
          <w:bCs/>
          <w:sz w:val="28"/>
          <w:szCs w:val="28"/>
        </w:rPr>
        <w:t>名；参赛人数在</w:t>
      </w:r>
      <w:r>
        <w:rPr>
          <w:rFonts w:ascii="仿宋" w:hAnsi="仿宋" w:eastAsia="仿宋" w:cs="Calibri"/>
          <w:bCs/>
          <w:sz w:val="28"/>
          <w:szCs w:val="28"/>
        </w:rPr>
        <w:t>10</w:t>
      </w:r>
      <w:r>
        <w:rPr>
          <w:rFonts w:hint="eastAsia" w:ascii="仿宋" w:hAnsi="仿宋" w:eastAsia="仿宋" w:cs="Calibri"/>
          <w:bCs/>
          <w:sz w:val="28"/>
          <w:szCs w:val="28"/>
        </w:rPr>
        <w:t>人以上分别按一等奖</w:t>
      </w:r>
      <w:r>
        <w:rPr>
          <w:rFonts w:ascii="仿宋" w:hAnsi="仿宋" w:eastAsia="仿宋" w:cs="Calibri"/>
          <w:bCs/>
          <w:sz w:val="28"/>
          <w:szCs w:val="28"/>
        </w:rPr>
        <w:t>10%</w:t>
      </w:r>
      <w:r>
        <w:rPr>
          <w:rFonts w:hint="eastAsia" w:ascii="仿宋" w:hAnsi="仿宋" w:eastAsia="仿宋" w:cs="Calibri"/>
          <w:bCs/>
          <w:sz w:val="28"/>
          <w:szCs w:val="28"/>
        </w:rPr>
        <w:t>，二等奖</w:t>
      </w:r>
      <w:r>
        <w:rPr>
          <w:rFonts w:ascii="仿宋" w:hAnsi="仿宋" w:eastAsia="仿宋" w:cs="Calibri"/>
          <w:bCs/>
          <w:sz w:val="28"/>
          <w:szCs w:val="28"/>
        </w:rPr>
        <w:t>20%</w:t>
      </w:r>
      <w:r>
        <w:rPr>
          <w:rFonts w:hint="eastAsia" w:ascii="仿宋" w:hAnsi="仿宋" w:eastAsia="仿宋" w:cs="Calibri"/>
          <w:bCs/>
          <w:sz w:val="28"/>
          <w:szCs w:val="28"/>
        </w:rPr>
        <w:t>，三等奖</w:t>
      </w:r>
      <w:r>
        <w:rPr>
          <w:rFonts w:ascii="仿宋" w:hAnsi="仿宋" w:eastAsia="仿宋" w:cs="Calibri"/>
          <w:bCs/>
          <w:sz w:val="28"/>
          <w:szCs w:val="28"/>
        </w:rPr>
        <w:t>30%</w:t>
      </w:r>
      <w:r>
        <w:rPr>
          <w:rFonts w:hint="eastAsia" w:ascii="仿宋" w:hAnsi="仿宋" w:eastAsia="仿宋" w:cs="Calibri"/>
          <w:bCs/>
          <w:sz w:val="28"/>
          <w:szCs w:val="28"/>
        </w:rPr>
        <w:t>比例设置奖例。所有获奖学生学院颁发证书；获奖选手将优先选派参加省级、国级技能大赛。</w:t>
      </w:r>
    </w:p>
    <w:p>
      <w:pPr>
        <w:adjustRightInd w:val="0"/>
        <w:snapToGrid w:val="0"/>
        <w:spacing w:line="360" w:lineRule="auto"/>
        <w:ind w:firstLine="562" w:firstLineChars="200"/>
        <w:rPr>
          <w:rFonts w:ascii="仿宋" w:hAnsi="仿宋" w:eastAsia="仿宋" w:cs="Calibri"/>
          <w:b/>
          <w:bCs/>
          <w:sz w:val="28"/>
          <w:szCs w:val="28"/>
        </w:rPr>
      </w:pPr>
      <w:r>
        <w:rPr>
          <w:rFonts w:hint="eastAsia" w:ascii="仿宋" w:hAnsi="仿宋" w:eastAsia="仿宋" w:cs="Calibri"/>
          <w:b/>
          <w:bCs/>
          <w:sz w:val="28"/>
          <w:szCs w:val="28"/>
        </w:rPr>
        <w:t>九、预期成果</w:t>
      </w:r>
    </w:p>
    <w:p>
      <w:pPr>
        <w:adjustRightInd w:val="0"/>
        <w:snapToGrid w:val="0"/>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（一）检验学生的适岗综合能力，促进人才培养质量的提升。</w:t>
      </w:r>
    </w:p>
    <w:p>
      <w:pPr>
        <w:adjustRightInd w:val="0"/>
        <w:snapToGrid w:val="0"/>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比赛能检验师资培养质量，更大范围为在校生提供职业素养与实践技能训练、展示与交流平台，“以赛促学、以赛促教、以赛促改”，促进我院学生的英语语言能力成长、师资培养质量的提高。</w:t>
      </w:r>
    </w:p>
    <w:p>
      <w:pPr>
        <w:adjustRightInd w:val="0"/>
        <w:snapToGrid w:val="0"/>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（二）增进教师间教学经验交流，促进专业课程教学改革。</w:t>
      </w:r>
    </w:p>
    <w:p>
      <w:pPr>
        <w:adjustRightInd w:val="0"/>
        <w:snapToGrid w:val="0"/>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促进教师之间的交流、学习与合作，推动我校外语教师加强课程教学改革，不断提升对学生的培养水平。</w:t>
      </w:r>
    </w:p>
    <w:p>
      <w:pPr>
        <w:adjustRightInd w:val="0"/>
        <w:snapToGrid w:val="0"/>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（三）为全省职业院校英语口语技能大赛选拔优秀人才。</w:t>
      </w:r>
    </w:p>
    <w:p>
      <w:pPr>
        <w:adjustRightInd w:val="0"/>
        <w:snapToGrid w:val="0"/>
        <w:spacing w:line="360" w:lineRule="auto"/>
        <w:ind w:firstLine="560" w:firstLineChars="200"/>
        <w:rPr>
          <w:rFonts w:ascii="仿宋" w:hAnsi="仿宋" w:eastAsia="仿宋" w:cs="Calibri"/>
          <w:bCs/>
          <w:sz w:val="28"/>
          <w:szCs w:val="28"/>
        </w:rPr>
      </w:pPr>
    </w:p>
    <w:p>
      <w:pPr>
        <w:adjustRightInd w:val="0"/>
        <w:snapToGrid w:val="0"/>
        <w:spacing w:line="360" w:lineRule="auto"/>
        <w:ind w:firstLine="560" w:firstLineChars="200"/>
        <w:rPr>
          <w:rFonts w:ascii="仿宋" w:hAnsi="仿宋" w:eastAsia="仿宋" w:cs="Calibri"/>
          <w:bCs/>
          <w:sz w:val="28"/>
          <w:szCs w:val="28"/>
        </w:rPr>
      </w:pPr>
      <w:r>
        <w:rPr>
          <w:rFonts w:hint="eastAsia" w:ascii="仿宋" w:hAnsi="仿宋" w:eastAsia="仿宋" w:cs="Calibri"/>
          <w:bCs/>
          <w:sz w:val="28"/>
          <w:szCs w:val="28"/>
        </w:rPr>
        <w:t>附件：</w:t>
      </w:r>
      <w:r>
        <w:rPr>
          <w:rFonts w:ascii="仿宋" w:hAnsi="仿宋" w:eastAsia="仿宋" w:cs="Calibri"/>
          <w:bCs/>
          <w:sz w:val="28"/>
          <w:szCs w:val="28"/>
        </w:rPr>
        <w:t xml:space="preserve">1 </w:t>
      </w:r>
      <w:r>
        <w:rPr>
          <w:rFonts w:hint="eastAsia" w:ascii="仿宋" w:hAnsi="仿宋" w:eastAsia="仿宋" w:cs="Calibri"/>
          <w:bCs/>
          <w:sz w:val="28"/>
          <w:szCs w:val="28"/>
        </w:rPr>
        <w:t>、英语口语技能大赛比赛评分表</w:t>
      </w:r>
    </w:p>
    <w:p>
      <w:pPr>
        <w:adjustRightInd w:val="0"/>
        <w:snapToGrid w:val="0"/>
        <w:spacing w:line="360" w:lineRule="auto"/>
        <w:ind w:firstLine="560" w:firstLineChars="200"/>
        <w:rPr>
          <w:rFonts w:ascii="仿宋" w:hAnsi="仿宋" w:eastAsia="仿宋" w:cs="Calibri"/>
          <w:bCs/>
          <w:sz w:val="28"/>
          <w:szCs w:val="28"/>
        </w:rPr>
      </w:pPr>
      <w:r>
        <w:rPr>
          <w:rFonts w:ascii="仿宋" w:hAnsi="仿宋" w:eastAsia="仿宋" w:cs="Calibri"/>
          <w:bCs/>
          <w:sz w:val="28"/>
          <w:szCs w:val="28"/>
        </w:rPr>
        <w:t xml:space="preserve">       2</w:t>
      </w:r>
      <w:r>
        <w:rPr>
          <w:rFonts w:hint="eastAsia" w:ascii="仿宋" w:hAnsi="仿宋" w:eastAsia="仿宋" w:cs="Calibri"/>
          <w:bCs/>
          <w:sz w:val="28"/>
          <w:szCs w:val="28"/>
        </w:rPr>
        <w:t>、英语口语技能大赛比赛成绩汇总表</w:t>
      </w:r>
    </w:p>
    <w:p>
      <w:pPr>
        <w:snapToGrid w:val="0"/>
        <w:spacing w:line="360" w:lineRule="auto"/>
        <w:ind w:firstLine="200"/>
        <w:rPr>
          <w:rFonts w:ascii="宋体"/>
          <w:color w:val="000000"/>
          <w:sz w:val="24"/>
        </w:rPr>
      </w:pPr>
    </w:p>
    <w:p>
      <w:pPr>
        <w:widowControl/>
        <w:jc w:val="left"/>
        <w:rPr>
          <w:rFonts w:ascii="宋体"/>
          <w:color w:val="000000"/>
          <w:sz w:val="24"/>
        </w:rPr>
      </w:pPr>
    </w:p>
    <w:p>
      <w:pPr>
        <w:snapToGrid w:val="0"/>
        <w:spacing w:line="360" w:lineRule="auto"/>
        <w:ind w:firstLine="200"/>
        <w:rPr>
          <w:rFonts w:ascii="宋体"/>
          <w:color w:val="000000"/>
          <w:sz w:val="24"/>
        </w:rPr>
        <w:sectPr>
          <w:pgSz w:w="11906" w:h="16838"/>
          <w:pgMar w:top="1440" w:right="1800" w:bottom="1440" w:left="1800" w:header="851" w:footer="992" w:gutter="0"/>
          <w:cols w:space="425" w:num="1"/>
          <w:docGrid w:type="lines" w:linePitch="312" w:charSpace="0"/>
        </w:sectPr>
      </w:pPr>
    </w:p>
    <w:p>
      <w:pPr>
        <w:snapToGrid w:val="0"/>
        <w:spacing w:line="360" w:lineRule="auto"/>
        <w:ind w:firstLine="200"/>
        <w:rPr>
          <w:rFonts w:ascii="宋体"/>
          <w:color w:val="000000"/>
          <w:sz w:val="24"/>
        </w:rPr>
      </w:pPr>
      <w:r>
        <w:rPr>
          <w:rFonts w:hint="eastAsia" w:ascii="宋体" w:hAnsi="宋体"/>
          <w:color w:val="000000"/>
          <w:sz w:val="24"/>
        </w:rPr>
        <w:t>附件</w:t>
      </w:r>
      <w:r>
        <w:rPr>
          <w:rFonts w:ascii="宋体" w:hAnsi="宋体"/>
          <w:color w:val="000000"/>
          <w:sz w:val="24"/>
        </w:rPr>
        <w:t>1</w:t>
      </w:r>
      <w:r>
        <w:rPr>
          <w:rFonts w:hint="eastAsia" w:ascii="宋体" w:hAnsi="宋体"/>
          <w:color w:val="000000"/>
          <w:sz w:val="24"/>
        </w:rPr>
        <w:t>：</w:t>
      </w:r>
    </w:p>
    <w:tbl>
      <w:tblPr>
        <w:tblStyle w:val="6"/>
        <w:tblW w:w="13790" w:type="dxa"/>
        <w:tblInd w:w="108" w:type="dxa"/>
        <w:tblLayout w:type="autofit"/>
        <w:tblCellMar>
          <w:top w:w="0" w:type="dxa"/>
          <w:left w:w="108" w:type="dxa"/>
          <w:bottom w:w="0" w:type="dxa"/>
          <w:right w:w="108" w:type="dxa"/>
        </w:tblCellMar>
      </w:tblPr>
      <w:tblGrid>
        <w:gridCol w:w="1440"/>
        <w:gridCol w:w="10850"/>
        <w:gridCol w:w="990"/>
        <w:gridCol w:w="510"/>
      </w:tblGrid>
      <w:tr>
        <w:tblPrEx>
          <w:tblCellMar>
            <w:top w:w="0" w:type="dxa"/>
            <w:left w:w="108" w:type="dxa"/>
            <w:bottom w:w="0" w:type="dxa"/>
            <w:right w:w="108" w:type="dxa"/>
          </w:tblCellMar>
        </w:tblPrEx>
        <w:trPr>
          <w:trHeight w:val="720" w:hRule="atLeast"/>
        </w:trPr>
        <w:tc>
          <w:tcPr>
            <w:tcW w:w="13790" w:type="dxa"/>
            <w:gridSpan w:val="4"/>
            <w:tcBorders>
              <w:top w:val="nil"/>
              <w:left w:val="nil"/>
              <w:bottom w:val="single" w:color="auto" w:sz="4" w:space="0"/>
              <w:right w:val="nil"/>
            </w:tcBorders>
            <w:noWrap/>
            <w:vAlign w:val="center"/>
          </w:tcPr>
          <w:p>
            <w:pPr>
              <w:widowControl/>
              <w:jc w:val="center"/>
              <w:rPr>
                <w:rFonts w:ascii="宋体" w:cs="宋体"/>
                <w:b/>
                <w:bCs/>
                <w:kern w:val="0"/>
                <w:sz w:val="36"/>
                <w:szCs w:val="36"/>
              </w:rPr>
            </w:pPr>
            <w:r>
              <w:rPr>
                <w:rFonts w:hint="eastAsia" w:ascii="宋体" w:hAnsi="宋体" w:cs="宋体"/>
                <w:b/>
                <w:bCs/>
                <w:kern w:val="0"/>
                <w:sz w:val="36"/>
                <w:szCs w:val="36"/>
              </w:rPr>
              <w:t>英语口语技能大赛评分表</w:t>
            </w:r>
          </w:p>
        </w:tc>
      </w:tr>
      <w:tr>
        <w:tblPrEx>
          <w:tblCellMar>
            <w:top w:w="0" w:type="dxa"/>
            <w:left w:w="108" w:type="dxa"/>
            <w:bottom w:w="0" w:type="dxa"/>
            <w:right w:w="108" w:type="dxa"/>
          </w:tblCellMar>
        </w:tblPrEx>
        <w:trPr>
          <w:trHeight w:val="702" w:hRule="atLeast"/>
        </w:trPr>
        <w:tc>
          <w:tcPr>
            <w:tcW w:w="144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2"/>
              </w:rPr>
            </w:pPr>
            <w:r>
              <w:rPr>
                <w:rFonts w:hint="eastAsia" w:ascii="宋体" w:hAnsi="宋体" w:cs="宋体"/>
                <w:kern w:val="0"/>
                <w:sz w:val="22"/>
              </w:rPr>
              <w:t>面试编号</w:t>
            </w:r>
          </w:p>
        </w:tc>
        <w:tc>
          <w:tcPr>
            <w:tcW w:w="12350" w:type="dxa"/>
            <w:gridSpan w:val="3"/>
            <w:tcBorders>
              <w:top w:val="single" w:color="auto" w:sz="4" w:space="0"/>
              <w:left w:val="nil"/>
              <w:bottom w:val="single" w:color="auto" w:sz="4" w:space="0"/>
              <w:right w:val="single" w:color="000000" w:sz="4" w:space="0"/>
            </w:tcBorders>
            <w:noWrap/>
            <w:vAlign w:val="center"/>
          </w:tcPr>
          <w:p>
            <w:pPr>
              <w:widowControl/>
              <w:jc w:val="left"/>
              <w:rPr>
                <w:rFonts w:ascii="宋体" w:cs="宋体"/>
                <w:kern w:val="0"/>
                <w:sz w:val="22"/>
              </w:rPr>
            </w:pPr>
            <w:r>
              <w:rPr>
                <w:rFonts w:hint="eastAsia" w:ascii="宋体" w:hAnsi="宋体" w:cs="宋体"/>
                <w:kern w:val="0"/>
                <w:sz w:val="22"/>
              </w:rPr>
              <w:t>　</w:t>
            </w:r>
          </w:p>
        </w:tc>
      </w:tr>
      <w:tr>
        <w:tblPrEx>
          <w:tblCellMar>
            <w:top w:w="0" w:type="dxa"/>
            <w:left w:w="108" w:type="dxa"/>
            <w:bottom w:w="0" w:type="dxa"/>
            <w:right w:w="108" w:type="dxa"/>
          </w:tblCellMar>
        </w:tblPrEx>
        <w:trPr>
          <w:trHeight w:val="702" w:hRule="atLeast"/>
        </w:trPr>
        <w:tc>
          <w:tcPr>
            <w:tcW w:w="1440" w:type="dxa"/>
            <w:vMerge w:val="restart"/>
            <w:tcBorders>
              <w:top w:val="nil"/>
              <w:left w:val="single" w:color="auto" w:sz="4" w:space="0"/>
              <w:bottom w:val="single" w:color="000000" w:sz="4" w:space="0"/>
              <w:right w:val="single" w:color="auto" w:sz="4" w:space="0"/>
            </w:tcBorders>
            <w:vAlign w:val="center"/>
          </w:tcPr>
          <w:p>
            <w:pPr>
              <w:widowControl/>
              <w:jc w:val="center"/>
              <w:rPr>
                <w:rFonts w:ascii="华文楷体" w:hAnsi="华文楷体" w:cs="宋体"/>
                <w:b/>
                <w:bCs/>
                <w:kern w:val="0"/>
                <w:sz w:val="32"/>
                <w:szCs w:val="32"/>
              </w:rPr>
            </w:pPr>
            <w:r>
              <w:rPr>
                <w:rFonts w:hint="eastAsia" w:ascii="宋体" w:hAnsi="宋体" w:cs="宋体"/>
                <w:b/>
                <w:bCs/>
                <w:kern w:val="0"/>
                <w:sz w:val="32"/>
                <w:szCs w:val="32"/>
              </w:rPr>
              <w:t>朗读发言</w:t>
            </w:r>
          </w:p>
        </w:tc>
        <w:tc>
          <w:tcPr>
            <w:tcW w:w="10850" w:type="dxa"/>
            <w:tcBorders>
              <w:top w:val="single" w:color="auto" w:sz="4" w:space="0"/>
              <w:left w:val="nil"/>
              <w:bottom w:val="single" w:color="auto" w:sz="4" w:space="0"/>
              <w:right w:val="single" w:color="000000" w:sz="4" w:space="0"/>
            </w:tcBorders>
            <w:noWrap/>
            <w:vAlign w:val="center"/>
          </w:tcPr>
          <w:p>
            <w:pPr>
              <w:widowControl/>
              <w:jc w:val="center"/>
              <w:rPr>
                <w:rFonts w:ascii="宋体" w:cs="宋体"/>
                <w:kern w:val="0"/>
                <w:sz w:val="22"/>
              </w:rPr>
            </w:pPr>
            <w:r>
              <w:rPr>
                <w:rFonts w:hint="eastAsia" w:ascii="宋体" w:hAnsi="宋体" w:cs="宋体"/>
                <w:kern w:val="0"/>
                <w:sz w:val="22"/>
              </w:rPr>
              <w:t>评</w:t>
            </w:r>
            <w:r>
              <w:rPr>
                <w:rFonts w:ascii="宋体" w:hAnsi="宋体" w:cs="宋体"/>
                <w:kern w:val="0"/>
                <w:sz w:val="22"/>
              </w:rPr>
              <w:t xml:space="preserve"> </w:t>
            </w:r>
            <w:r>
              <w:rPr>
                <w:rFonts w:hint="eastAsia" w:ascii="宋体" w:hAnsi="宋体" w:cs="宋体"/>
                <w:kern w:val="0"/>
                <w:sz w:val="22"/>
              </w:rPr>
              <w:t>分</w:t>
            </w:r>
            <w:r>
              <w:rPr>
                <w:rFonts w:ascii="宋体" w:hAnsi="宋体" w:cs="宋体"/>
                <w:kern w:val="0"/>
                <w:sz w:val="22"/>
              </w:rPr>
              <w:t xml:space="preserve"> </w:t>
            </w:r>
            <w:r>
              <w:rPr>
                <w:rFonts w:hint="eastAsia" w:ascii="宋体" w:hAnsi="宋体" w:cs="宋体"/>
                <w:kern w:val="0"/>
                <w:sz w:val="22"/>
              </w:rPr>
              <w:t>要</w:t>
            </w:r>
            <w:r>
              <w:rPr>
                <w:rFonts w:ascii="宋体" w:hAnsi="宋体" w:cs="宋体"/>
                <w:kern w:val="0"/>
                <w:sz w:val="22"/>
              </w:rPr>
              <w:t xml:space="preserve"> </w:t>
            </w:r>
            <w:r>
              <w:rPr>
                <w:rFonts w:hint="eastAsia" w:ascii="宋体" w:hAnsi="宋体" w:cs="宋体"/>
                <w:kern w:val="0"/>
                <w:sz w:val="22"/>
              </w:rPr>
              <w:t>素</w:t>
            </w:r>
          </w:p>
        </w:tc>
        <w:tc>
          <w:tcPr>
            <w:tcW w:w="99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hint="eastAsia" w:ascii="宋体" w:hAnsi="宋体" w:cs="宋体"/>
                <w:kern w:val="0"/>
                <w:sz w:val="24"/>
                <w:szCs w:val="24"/>
              </w:rPr>
              <w:t>评分标准</w:t>
            </w:r>
          </w:p>
        </w:tc>
        <w:tc>
          <w:tcPr>
            <w:tcW w:w="51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得分</w:t>
            </w:r>
          </w:p>
        </w:tc>
      </w:tr>
      <w:tr>
        <w:tblPrEx>
          <w:tblCellMar>
            <w:top w:w="0" w:type="dxa"/>
            <w:left w:w="108" w:type="dxa"/>
            <w:bottom w:w="0" w:type="dxa"/>
            <w:right w:w="108" w:type="dxa"/>
          </w:tblCellMar>
        </w:tblPrEx>
        <w:trPr>
          <w:trHeight w:val="355" w:hRule="atLeast"/>
        </w:trPr>
        <w:tc>
          <w:tcPr>
            <w:tcW w:w="1440" w:type="dxa"/>
            <w:vMerge w:val="continue"/>
            <w:tcBorders>
              <w:top w:val="nil"/>
              <w:left w:val="single" w:color="auto" w:sz="4" w:space="0"/>
              <w:bottom w:val="single" w:color="000000" w:sz="4" w:space="0"/>
              <w:right w:val="single" w:color="auto" w:sz="4" w:space="0"/>
            </w:tcBorders>
            <w:vAlign w:val="center"/>
          </w:tcPr>
          <w:p>
            <w:pPr>
              <w:widowControl/>
              <w:jc w:val="left"/>
              <w:rPr>
                <w:rFonts w:ascii="华文楷体" w:hAnsi="华文楷体" w:cs="宋体"/>
                <w:b/>
                <w:bCs/>
                <w:kern w:val="0"/>
                <w:sz w:val="32"/>
                <w:szCs w:val="32"/>
              </w:rPr>
            </w:pPr>
          </w:p>
        </w:tc>
        <w:tc>
          <w:tcPr>
            <w:tcW w:w="10850" w:type="dxa"/>
            <w:tcBorders>
              <w:top w:val="nil"/>
              <w:left w:val="nil"/>
              <w:bottom w:val="single" w:color="auto" w:sz="4" w:space="0"/>
              <w:right w:val="single" w:color="auto" w:sz="4" w:space="0"/>
            </w:tcBorders>
            <w:noWrap/>
            <w:vAlign w:val="center"/>
          </w:tcPr>
          <w:p>
            <w:pPr>
              <w:widowControl/>
              <w:jc w:val="left"/>
              <w:rPr>
                <w:rFonts w:ascii="华文中宋" w:hAnsi="华文中宋" w:cs="宋体"/>
                <w:b/>
                <w:bCs/>
                <w:kern w:val="0"/>
                <w:sz w:val="22"/>
              </w:rPr>
            </w:pPr>
            <w:r>
              <w:rPr>
                <w:rFonts w:hint="eastAsia" w:ascii="宋体" w:hAnsi="宋体" w:cs="宋体"/>
                <w:color w:val="000000"/>
                <w:kern w:val="0"/>
                <w:sz w:val="20"/>
                <w:szCs w:val="20"/>
              </w:rPr>
              <w:t>内容完整；口齿清晰，发音标准，地道纯正，断句准确，表达流畅，富有感染力；举止大方、得体</w:t>
            </w:r>
          </w:p>
          <w:p>
            <w:pPr>
              <w:widowControl/>
              <w:jc w:val="left"/>
              <w:rPr>
                <w:rFonts w:ascii="华文中宋" w:hAnsi="华文中宋" w:cs="宋体"/>
                <w:b/>
                <w:bCs/>
                <w:kern w:val="0"/>
                <w:sz w:val="22"/>
              </w:rPr>
            </w:pPr>
          </w:p>
        </w:tc>
        <w:tc>
          <w:tcPr>
            <w:tcW w:w="99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45-50</w:t>
            </w:r>
          </w:p>
        </w:tc>
        <w:tc>
          <w:tcPr>
            <w:tcW w:w="51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275" w:hRule="atLeast"/>
        </w:trPr>
        <w:tc>
          <w:tcPr>
            <w:tcW w:w="1440" w:type="dxa"/>
            <w:vMerge w:val="continue"/>
            <w:tcBorders>
              <w:top w:val="nil"/>
              <w:left w:val="single" w:color="auto" w:sz="4" w:space="0"/>
              <w:bottom w:val="single" w:color="000000" w:sz="4" w:space="0"/>
              <w:right w:val="single" w:color="auto" w:sz="4" w:space="0"/>
            </w:tcBorders>
            <w:vAlign w:val="center"/>
          </w:tcPr>
          <w:p>
            <w:pPr>
              <w:widowControl/>
              <w:jc w:val="left"/>
              <w:rPr>
                <w:rFonts w:ascii="华文楷体" w:hAnsi="华文楷体" w:cs="宋体"/>
                <w:b/>
                <w:bCs/>
                <w:kern w:val="0"/>
                <w:sz w:val="32"/>
                <w:szCs w:val="32"/>
              </w:rPr>
            </w:pPr>
          </w:p>
        </w:tc>
        <w:tc>
          <w:tcPr>
            <w:tcW w:w="10850" w:type="dxa"/>
            <w:tcBorders>
              <w:top w:val="nil"/>
              <w:left w:val="nil"/>
              <w:bottom w:val="single" w:color="auto" w:sz="4" w:space="0"/>
              <w:right w:val="single" w:color="auto" w:sz="4" w:space="0"/>
            </w:tcBorders>
            <w:noWrap/>
            <w:vAlign w:val="center"/>
          </w:tcPr>
          <w:p>
            <w:pPr>
              <w:widowControl/>
              <w:jc w:val="left"/>
              <w:rPr>
                <w:rFonts w:ascii="华文中宋" w:hAnsi="华文中宋" w:cs="宋体"/>
                <w:b/>
                <w:bCs/>
                <w:kern w:val="0"/>
                <w:sz w:val="22"/>
              </w:rPr>
            </w:pPr>
            <w:r>
              <w:rPr>
                <w:rFonts w:hint="eastAsia" w:ascii="宋体" w:hAnsi="宋体" w:cs="宋体"/>
                <w:color w:val="000000"/>
                <w:kern w:val="0"/>
                <w:sz w:val="20"/>
                <w:szCs w:val="20"/>
              </w:rPr>
              <w:t>内容完整；口齿清晰，发音标准，比较地道，断句准确，表达流畅，没有感染力；举止大方、得体</w:t>
            </w:r>
          </w:p>
        </w:tc>
        <w:tc>
          <w:tcPr>
            <w:tcW w:w="99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40-45</w:t>
            </w:r>
          </w:p>
        </w:tc>
        <w:tc>
          <w:tcPr>
            <w:tcW w:w="51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223" w:hRule="atLeast"/>
        </w:trPr>
        <w:tc>
          <w:tcPr>
            <w:tcW w:w="1440" w:type="dxa"/>
            <w:vMerge w:val="continue"/>
            <w:tcBorders>
              <w:top w:val="nil"/>
              <w:left w:val="single" w:color="auto" w:sz="4" w:space="0"/>
              <w:bottom w:val="single" w:color="000000" w:sz="4" w:space="0"/>
              <w:right w:val="single" w:color="auto" w:sz="4" w:space="0"/>
            </w:tcBorders>
            <w:vAlign w:val="center"/>
          </w:tcPr>
          <w:p>
            <w:pPr>
              <w:widowControl/>
              <w:jc w:val="left"/>
              <w:rPr>
                <w:rFonts w:ascii="华文楷体" w:hAnsi="华文楷体" w:cs="宋体"/>
                <w:b/>
                <w:bCs/>
                <w:kern w:val="0"/>
                <w:sz w:val="32"/>
                <w:szCs w:val="32"/>
              </w:rPr>
            </w:pPr>
          </w:p>
        </w:tc>
        <w:tc>
          <w:tcPr>
            <w:tcW w:w="10850" w:type="dxa"/>
            <w:tcBorders>
              <w:top w:val="single" w:color="auto" w:sz="4" w:space="0"/>
              <w:left w:val="nil"/>
              <w:bottom w:val="single" w:color="auto" w:sz="4" w:space="0"/>
              <w:right w:val="single" w:color="000000" w:sz="4" w:space="0"/>
            </w:tcBorders>
            <w:noWrap/>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内容完整；口齿清晰，发音标准，断句稍欠准确，表达不够流畅；举止得体</w:t>
            </w:r>
          </w:p>
        </w:tc>
        <w:tc>
          <w:tcPr>
            <w:tcW w:w="99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35-40</w:t>
            </w:r>
          </w:p>
        </w:tc>
        <w:tc>
          <w:tcPr>
            <w:tcW w:w="51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199" w:hRule="atLeast"/>
        </w:trPr>
        <w:tc>
          <w:tcPr>
            <w:tcW w:w="1440" w:type="dxa"/>
            <w:vMerge w:val="continue"/>
            <w:tcBorders>
              <w:top w:val="nil"/>
              <w:left w:val="single" w:color="auto" w:sz="4" w:space="0"/>
              <w:bottom w:val="single" w:color="000000" w:sz="4" w:space="0"/>
              <w:right w:val="single" w:color="auto" w:sz="4" w:space="0"/>
            </w:tcBorders>
            <w:vAlign w:val="center"/>
          </w:tcPr>
          <w:p>
            <w:pPr>
              <w:widowControl/>
              <w:jc w:val="left"/>
              <w:rPr>
                <w:rFonts w:ascii="华文楷体" w:hAnsi="华文楷体" w:cs="宋体"/>
                <w:b/>
                <w:bCs/>
                <w:kern w:val="0"/>
                <w:sz w:val="32"/>
                <w:szCs w:val="32"/>
              </w:rPr>
            </w:pPr>
          </w:p>
        </w:tc>
        <w:tc>
          <w:tcPr>
            <w:tcW w:w="10850" w:type="dxa"/>
            <w:tcBorders>
              <w:top w:val="single" w:color="auto" w:sz="4" w:space="0"/>
              <w:left w:val="nil"/>
              <w:bottom w:val="single" w:color="auto" w:sz="4" w:space="0"/>
              <w:right w:val="single" w:color="000000" w:sz="4" w:space="0"/>
            </w:tcBorders>
            <w:noWrap/>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内容完整；发音不够标准，断句错误，表达不够流畅；举止不够得体</w:t>
            </w:r>
          </w:p>
        </w:tc>
        <w:tc>
          <w:tcPr>
            <w:tcW w:w="99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30-35</w:t>
            </w:r>
          </w:p>
        </w:tc>
        <w:tc>
          <w:tcPr>
            <w:tcW w:w="51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289" w:hRule="atLeast"/>
        </w:trPr>
        <w:tc>
          <w:tcPr>
            <w:tcW w:w="1440" w:type="dxa"/>
            <w:vMerge w:val="continue"/>
            <w:tcBorders>
              <w:top w:val="nil"/>
              <w:left w:val="single" w:color="auto" w:sz="4" w:space="0"/>
              <w:bottom w:val="single" w:color="000000" w:sz="4" w:space="0"/>
              <w:right w:val="single" w:color="auto" w:sz="4" w:space="0"/>
            </w:tcBorders>
            <w:vAlign w:val="center"/>
          </w:tcPr>
          <w:p>
            <w:pPr>
              <w:widowControl/>
              <w:jc w:val="left"/>
              <w:rPr>
                <w:rFonts w:ascii="华文楷体" w:hAnsi="华文楷体" w:cs="宋体"/>
                <w:b/>
                <w:bCs/>
                <w:kern w:val="0"/>
                <w:sz w:val="32"/>
                <w:szCs w:val="32"/>
              </w:rPr>
            </w:pPr>
          </w:p>
        </w:tc>
        <w:tc>
          <w:tcPr>
            <w:tcW w:w="1085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hint="eastAsia" w:ascii="宋体" w:hAnsi="宋体" w:cs="宋体"/>
                <w:color w:val="000000"/>
                <w:kern w:val="0"/>
                <w:sz w:val="20"/>
                <w:szCs w:val="20"/>
              </w:rPr>
              <w:t>内容不够完整；口齿不清，发音不准，方言太重，断句不准确，表达不够流畅；肢体语言欠缺</w:t>
            </w:r>
          </w:p>
        </w:tc>
        <w:tc>
          <w:tcPr>
            <w:tcW w:w="99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25-30</w:t>
            </w:r>
          </w:p>
        </w:tc>
        <w:tc>
          <w:tcPr>
            <w:tcW w:w="51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407" w:hRule="atLeast"/>
        </w:trPr>
        <w:tc>
          <w:tcPr>
            <w:tcW w:w="1440" w:type="dxa"/>
            <w:vMerge w:val="restart"/>
            <w:tcBorders>
              <w:top w:val="nil"/>
              <w:left w:val="single" w:color="auto" w:sz="4" w:space="0"/>
              <w:bottom w:val="single" w:color="auto" w:sz="4" w:space="0"/>
              <w:right w:val="single" w:color="auto" w:sz="4" w:space="0"/>
            </w:tcBorders>
            <w:vAlign w:val="center"/>
          </w:tcPr>
          <w:p>
            <w:pPr>
              <w:widowControl/>
              <w:jc w:val="center"/>
              <w:rPr>
                <w:rFonts w:ascii="华文楷体" w:hAnsi="华文楷体" w:cs="宋体"/>
                <w:b/>
                <w:bCs/>
                <w:kern w:val="0"/>
                <w:sz w:val="32"/>
                <w:szCs w:val="32"/>
              </w:rPr>
            </w:pPr>
            <w:r>
              <w:rPr>
                <w:rFonts w:hint="eastAsia" w:ascii="宋体" w:hAnsi="宋体" w:cs="宋体"/>
                <w:b/>
                <w:bCs/>
                <w:kern w:val="0"/>
                <w:sz w:val="32"/>
                <w:szCs w:val="32"/>
              </w:rPr>
              <w:t>职场描述</w:t>
            </w:r>
          </w:p>
        </w:tc>
        <w:tc>
          <w:tcPr>
            <w:tcW w:w="1085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hint="eastAsia" w:ascii="宋体" w:hAnsi="宋体" w:cs="宋体"/>
                <w:color w:val="000000"/>
                <w:kern w:val="0"/>
                <w:sz w:val="20"/>
                <w:szCs w:val="20"/>
              </w:rPr>
              <w:t>内容完整、充实，能就主题进行充分发挥；逻辑性强，条理清晰，表达流畅；语言丰富，使用准确；举止大方、得体</w:t>
            </w:r>
          </w:p>
          <w:p>
            <w:pPr>
              <w:widowControl/>
              <w:jc w:val="left"/>
              <w:rPr>
                <w:rFonts w:ascii="宋体" w:cs="宋体"/>
                <w:kern w:val="0"/>
                <w:sz w:val="24"/>
                <w:szCs w:val="24"/>
              </w:rPr>
            </w:pPr>
          </w:p>
        </w:tc>
        <w:tc>
          <w:tcPr>
            <w:tcW w:w="99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45-50</w:t>
            </w:r>
          </w:p>
        </w:tc>
        <w:tc>
          <w:tcPr>
            <w:tcW w:w="51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271" w:hRule="atLeast"/>
        </w:trPr>
        <w:tc>
          <w:tcPr>
            <w:tcW w:w="1440" w:type="dxa"/>
            <w:vMerge w:val="continue"/>
            <w:tcBorders>
              <w:top w:val="nil"/>
              <w:left w:val="single" w:color="auto" w:sz="4" w:space="0"/>
              <w:bottom w:val="single" w:color="auto" w:sz="4" w:space="0"/>
              <w:right w:val="single" w:color="auto" w:sz="4" w:space="0"/>
            </w:tcBorders>
            <w:vAlign w:val="center"/>
          </w:tcPr>
          <w:p>
            <w:pPr>
              <w:widowControl/>
              <w:jc w:val="left"/>
              <w:rPr>
                <w:rFonts w:ascii="华文楷体" w:hAnsi="华文楷体" w:cs="宋体"/>
                <w:b/>
                <w:bCs/>
                <w:kern w:val="0"/>
                <w:sz w:val="32"/>
                <w:szCs w:val="32"/>
              </w:rPr>
            </w:pPr>
          </w:p>
        </w:tc>
        <w:tc>
          <w:tcPr>
            <w:tcW w:w="1085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hint="eastAsia" w:ascii="宋体" w:hAnsi="宋体" w:cs="宋体"/>
                <w:color w:val="000000"/>
                <w:kern w:val="0"/>
                <w:sz w:val="20"/>
                <w:szCs w:val="20"/>
              </w:rPr>
              <w:t>内容完整、充实，能就主题进行一定的发挥；逻辑性较强，条理清晰，表达比较流畅；语言较丰富，使用正确；举止得体</w:t>
            </w:r>
          </w:p>
        </w:tc>
        <w:tc>
          <w:tcPr>
            <w:tcW w:w="99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40-45</w:t>
            </w:r>
          </w:p>
        </w:tc>
        <w:tc>
          <w:tcPr>
            <w:tcW w:w="51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375" w:hRule="atLeast"/>
        </w:trPr>
        <w:tc>
          <w:tcPr>
            <w:tcW w:w="1440" w:type="dxa"/>
            <w:vMerge w:val="continue"/>
            <w:tcBorders>
              <w:top w:val="nil"/>
              <w:left w:val="single" w:color="auto" w:sz="4" w:space="0"/>
              <w:bottom w:val="single" w:color="auto" w:sz="4" w:space="0"/>
              <w:right w:val="single" w:color="auto" w:sz="4" w:space="0"/>
            </w:tcBorders>
            <w:vAlign w:val="center"/>
          </w:tcPr>
          <w:p>
            <w:pPr>
              <w:widowControl/>
              <w:jc w:val="left"/>
              <w:rPr>
                <w:rFonts w:ascii="华文楷体" w:hAnsi="华文楷体" w:cs="宋体"/>
                <w:b/>
                <w:bCs/>
                <w:kern w:val="0"/>
                <w:sz w:val="32"/>
                <w:szCs w:val="32"/>
              </w:rPr>
            </w:pPr>
          </w:p>
        </w:tc>
        <w:tc>
          <w:tcPr>
            <w:tcW w:w="1085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hint="eastAsia" w:ascii="宋体" w:hAnsi="宋体" w:cs="宋体"/>
                <w:color w:val="000000"/>
                <w:kern w:val="0"/>
                <w:sz w:val="20"/>
                <w:szCs w:val="20"/>
              </w:rPr>
              <w:t>内容完整；逻辑性较强，条理比较清晰，表达基本流畅；使用语言基本正确；举止较为得体</w:t>
            </w:r>
          </w:p>
          <w:p>
            <w:pPr>
              <w:widowControl/>
              <w:jc w:val="left"/>
              <w:rPr>
                <w:rFonts w:ascii="宋体" w:cs="宋体"/>
                <w:kern w:val="0"/>
                <w:sz w:val="24"/>
                <w:szCs w:val="24"/>
              </w:rPr>
            </w:pPr>
          </w:p>
        </w:tc>
        <w:tc>
          <w:tcPr>
            <w:tcW w:w="99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35-40</w:t>
            </w:r>
          </w:p>
        </w:tc>
        <w:tc>
          <w:tcPr>
            <w:tcW w:w="51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267" w:hRule="atLeast"/>
        </w:trPr>
        <w:tc>
          <w:tcPr>
            <w:tcW w:w="1440" w:type="dxa"/>
            <w:vMerge w:val="continue"/>
            <w:tcBorders>
              <w:top w:val="nil"/>
              <w:left w:val="single" w:color="auto" w:sz="4" w:space="0"/>
              <w:bottom w:val="single" w:color="auto" w:sz="4" w:space="0"/>
              <w:right w:val="single" w:color="auto" w:sz="4" w:space="0"/>
            </w:tcBorders>
            <w:vAlign w:val="center"/>
          </w:tcPr>
          <w:p>
            <w:pPr>
              <w:widowControl/>
              <w:jc w:val="left"/>
              <w:rPr>
                <w:rFonts w:ascii="华文楷体" w:hAnsi="华文楷体" w:cs="宋体"/>
                <w:b/>
                <w:bCs/>
                <w:kern w:val="0"/>
                <w:sz w:val="32"/>
                <w:szCs w:val="32"/>
              </w:rPr>
            </w:pPr>
          </w:p>
        </w:tc>
        <w:tc>
          <w:tcPr>
            <w:tcW w:w="10850" w:type="dxa"/>
            <w:tcBorders>
              <w:top w:val="single" w:color="auto" w:sz="4" w:space="0"/>
              <w:left w:val="nil"/>
              <w:bottom w:val="single" w:color="auto" w:sz="4" w:space="0"/>
              <w:right w:val="single" w:color="000000" w:sz="4" w:space="0"/>
            </w:tcBorders>
            <w:noWrap/>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内容基本完整；条理比较清晰；使用语言基本正确；举止大致得体</w:t>
            </w:r>
          </w:p>
        </w:tc>
        <w:tc>
          <w:tcPr>
            <w:tcW w:w="99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30-35</w:t>
            </w:r>
          </w:p>
        </w:tc>
        <w:tc>
          <w:tcPr>
            <w:tcW w:w="51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371" w:hRule="atLeast"/>
        </w:trPr>
        <w:tc>
          <w:tcPr>
            <w:tcW w:w="1440" w:type="dxa"/>
            <w:vMerge w:val="continue"/>
            <w:tcBorders>
              <w:top w:val="nil"/>
              <w:left w:val="single" w:color="auto" w:sz="4" w:space="0"/>
              <w:bottom w:val="single" w:color="auto" w:sz="4" w:space="0"/>
              <w:right w:val="single" w:color="auto" w:sz="4" w:space="0"/>
            </w:tcBorders>
            <w:vAlign w:val="center"/>
          </w:tcPr>
          <w:p>
            <w:pPr>
              <w:widowControl/>
              <w:jc w:val="left"/>
              <w:rPr>
                <w:rFonts w:ascii="华文楷体" w:hAnsi="华文楷体" w:cs="宋体"/>
                <w:b/>
                <w:bCs/>
                <w:kern w:val="0"/>
                <w:sz w:val="32"/>
                <w:szCs w:val="32"/>
              </w:rPr>
            </w:pPr>
          </w:p>
        </w:tc>
        <w:tc>
          <w:tcPr>
            <w:tcW w:w="10850" w:type="dxa"/>
            <w:tcBorders>
              <w:top w:val="single" w:color="auto" w:sz="4" w:space="0"/>
              <w:left w:val="nil"/>
              <w:bottom w:val="single" w:color="auto" w:sz="4" w:space="0"/>
              <w:right w:val="single" w:color="000000" w:sz="4" w:space="0"/>
            </w:tcBorders>
            <w:noWrap/>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内容基本完整；表达尚连贯；使用语言尚正确；举止欠佳</w:t>
            </w:r>
          </w:p>
        </w:tc>
        <w:tc>
          <w:tcPr>
            <w:tcW w:w="99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ascii="宋体" w:hAnsi="宋体" w:cs="宋体"/>
                <w:kern w:val="0"/>
                <w:sz w:val="24"/>
                <w:szCs w:val="24"/>
              </w:rPr>
              <w:t>25-30</w:t>
            </w:r>
          </w:p>
        </w:tc>
        <w:tc>
          <w:tcPr>
            <w:tcW w:w="510" w:type="dxa"/>
            <w:tcBorders>
              <w:top w:val="nil"/>
              <w:left w:val="nil"/>
              <w:bottom w:val="single" w:color="auto" w:sz="4" w:space="0"/>
              <w:right w:val="single" w:color="auto" w:sz="4" w:space="0"/>
            </w:tcBorders>
            <w:noWrap/>
            <w:vAlign w:val="center"/>
          </w:tcPr>
          <w:p>
            <w:pPr>
              <w:widowControl/>
              <w:jc w:val="left"/>
              <w:rPr>
                <w:rFonts w:asci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640" w:hRule="atLeast"/>
        </w:trPr>
        <w:tc>
          <w:tcPr>
            <w:tcW w:w="1440" w:type="dxa"/>
            <w:tcBorders>
              <w:top w:val="nil"/>
              <w:left w:val="single" w:color="auto" w:sz="4" w:space="0"/>
              <w:bottom w:val="single" w:color="auto" w:sz="4" w:space="0"/>
              <w:right w:val="single" w:color="auto" w:sz="4" w:space="0"/>
            </w:tcBorders>
            <w:noWrap/>
            <w:vAlign w:val="center"/>
          </w:tcPr>
          <w:p>
            <w:pPr>
              <w:widowControl/>
              <w:jc w:val="center"/>
              <w:rPr>
                <w:rFonts w:ascii="黑体" w:hAnsi="黑体" w:eastAsia="黑体" w:cs="宋体"/>
                <w:b/>
                <w:bCs/>
                <w:kern w:val="0"/>
                <w:sz w:val="24"/>
                <w:szCs w:val="24"/>
              </w:rPr>
            </w:pPr>
            <w:r>
              <w:rPr>
                <w:rFonts w:hint="eastAsia" w:ascii="黑体" w:hAnsi="黑体" w:eastAsia="黑体" w:cs="宋体"/>
                <w:b/>
                <w:bCs/>
                <w:kern w:val="0"/>
                <w:sz w:val="24"/>
                <w:szCs w:val="24"/>
              </w:rPr>
              <w:t>总计得分</w:t>
            </w:r>
          </w:p>
        </w:tc>
        <w:tc>
          <w:tcPr>
            <w:tcW w:w="12350" w:type="dxa"/>
            <w:gridSpan w:val="3"/>
            <w:tcBorders>
              <w:top w:val="single" w:color="auto" w:sz="4" w:space="0"/>
              <w:left w:val="nil"/>
              <w:bottom w:val="single" w:color="auto" w:sz="4" w:space="0"/>
              <w:right w:val="single" w:color="000000"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312" w:hRule="atLeast"/>
        </w:trPr>
        <w:tc>
          <w:tcPr>
            <w:tcW w:w="1440"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宋体" w:cs="宋体"/>
                <w:b/>
                <w:bCs/>
                <w:kern w:val="0"/>
                <w:sz w:val="24"/>
                <w:szCs w:val="24"/>
              </w:rPr>
            </w:pPr>
            <w:r>
              <w:rPr>
                <w:rFonts w:hint="eastAsia" w:ascii="宋体" w:hAnsi="宋体" w:cs="宋体"/>
                <w:b/>
                <w:bCs/>
                <w:kern w:val="0"/>
                <w:sz w:val="24"/>
                <w:szCs w:val="24"/>
              </w:rPr>
              <w:t>考官评语</w:t>
            </w:r>
          </w:p>
        </w:tc>
        <w:tc>
          <w:tcPr>
            <w:tcW w:w="12350" w:type="dxa"/>
            <w:gridSpan w:val="3"/>
            <w:vMerge w:val="restart"/>
            <w:tcBorders>
              <w:top w:val="single" w:color="auto" w:sz="4" w:space="0"/>
              <w:left w:val="single" w:color="auto" w:sz="4" w:space="0"/>
              <w:bottom w:val="single" w:color="000000" w:sz="4" w:space="0"/>
              <w:right w:val="single" w:color="000000" w:sz="4" w:space="0"/>
            </w:tcBorders>
            <w:vAlign w:val="center"/>
          </w:tcPr>
          <w:p>
            <w:pPr>
              <w:widowControl/>
              <w:rPr>
                <w:rFonts w:hint="eastAsia" w:ascii="宋体" w:hAnsi="宋体" w:eastAsia="宋体" w:cs="宋体"/>
                <w:kern w:val="0"/>
                <w:sz w:val="24"/>
                <w:szCs w:val="24"/>
                <w:lang w:eastAsia="zh-CN"/>
              </w:rPr>
            </w:pPr>
          </w:p>
          <w:p>
            <w:pPr>
              <w:widowControl/>
              <w:rPr>
                <w:rFonts w:hint="eastAsia" w:ascii="宋体" w:hAnsi="宋体" w:eastAsia="宋体" w:cs="宋体"/>
                <w:kern w:val="0"/>
                <w:sz w:val="24"/>
                <w:szCs w:val="24"/>
                <w:lang w:eastAsia="zh-CN"/>
              </w:rPr>
            </w:pPr>
            <w:r>
              <w:rPr>
                <w:rFonts w:ascii="宋体" w:hAnsi="宋体" w:cs="宋体"/>
                <w:kern w:val="0"/>
                <w:sz w:val="24"/>
                <w:szCs w:val="24"/>
              </w:rPr>
              <w:t xml:space="preserve">                                          </w:t>
            </w:r>
            <w:r>
              <w:rPr>
                <w:rFonts w:hint="eastAsia" w:ascii="宋体" w:hAnsi="宋体" w:cs="宋体"/>
                <w:kern w:val="0"/>
                <w:sz w:val="24"/>
                <w:szCs w:val="24"/>
              </w:rPr>
              <w:t>考官签名：</w:t>
            </w:r>
          </w:p>
          <w:p>
            <w:pPr>
              <w:widowControl/>
              <w:rPr>
                <w:rFonts w:ascii="宋体" w:cs="宋体"/>
                <w:kern w:val="0"/>
                <w:sz w:val="24"/>
                <w:szCs w:val="24"/>
              </w:rPr>
            </w:pPr>
            <w:r>
              <w:rPr>
                <w:rFonts w:ascii="宋体" w:hAnsi="宋体" w:cs="宋体"/>
                <w:kern w:val="0"/>
                <w:sz w:val="24"/>
                <w:szCs w:val="24"/>
              </w:rPr>
              <w:t xml:space="preserve">                                                               </w:t>
            </w:r>
            <w:r>
              <w:rPr>
                <w:rFonts w:hint="eastAsia" w:ascii="宋体" w:hAnsi="宋体" w:cs="宋体"/>
                <w:kern w:val="0"/>
                <w:sz w:val="24"/>
                <w:szCs w:val="24"/>
              </w:rPr>
              <w:t>年</w:t>
            </w:r>
            <w:r>
              <w:rPr>
                <w:rFonts w:ascii="宋体" w:hAnsi="宋体" w:cs="宋体"/>
                <w:kern w:val="0"/>
                <w:sz w:val="24"/>
                <w:szCs w:val="24"/>
              </w:rPr>
              <w:t xml:space="preserve">    </w:t>
            </w:r>
            <w:r>
              <w:rPr>
                <w:rFonts w:hint="eastAsia" w:ascii="宋体" w:hAnsi="宋体" w:cs="宋体"/>
                <w:kern w:val="0"/>
                <w:sz w:val="24"/>
                <w:szCs w:val="24"/>
              </w:rPr>
              <w:t>月</w:t>
            </w:r>
            <w:r>
              <w:rPr>
                <w:rFonts w:ascii="宋体" w:hAnsi="宋体" w:cs="宋体"/>
                <w:kern w:val="0"/>
                <w:sz w:val="24"/>
                <w:szCs w:val="24"/>
              </w:rPr>
              <w:t xml:space="preserve">    </w:t>
            </w:r>
            <w:r>
              <w:rPr>
                <w:rFonts w:hint="eastAsia" w:ascii="宋体" w:hAnsi="宋体" w:cs="宋体"/>
                <w:kern w:val="0"/>
                <w:sz w:val="24"/>
                <w:szCs w:val="24"/>
              </w:rPr>
              <w:t>日</w:t>
            </w:r>
          </w:p>
        </w:tc>
      </w:tr>
      <w:tr>
        <w:tblPrEx>
          <w:tblCellMar>
            <w:top w:w="0" w:type="dxa"/>
            <w:left w:w="108" w:type="dxa"/>
            <w:bottom w:w="0" w:type="dxa"/>
            <w:right w:w="108" w:type="dxa"/>
          </w:tblCellMar>
        </w:tblPrEx>
        <w:trPr>
          <w:trHeight w:val="312" w:hRule="atLeast"/>
        </w:trPr>
        <w:tc>
          <w:tcPr>
            <w:tcW w:w="14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b/>
                <w:bCs/>
                <w:kern w:val="0"/>
                <w:sz w:val="24"/>
                <w:szCs w:val="24"/>
              </w:rPr>
            </w:pPr>
          </w:p>
        </w:tc>
        <w:tc>
          <w:tcPr>
            <w:tcW w:w="12350"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kern w:val="0"/>
                <w:sz w:val="24"/>
                <w:szCs w:val="24"/>
              </w:rPr>
            </w:pPr>
          </w:p>
        </w:tc>
      </w:tr>
      <w:tr>
        <w:tblPrEx>
          <w:tblCellMar>
            <w:top w:w="0" w:type="dxa"/>
            <w:left w:w="108" w:type="dxa"/>
            <w:bottom w:w="0" w:type="dxa"/>
            <w:right w:w="108" w:type="dxa"/>
          </w:tblCellMar>
        </w:tblPrEx>
        <w:trPr>
          <w:trHeight w:val="312" w:hRule="atLeast"/>
        </w:trPr>
        <w:tc>
          <w:tcPr>
            <w:tcW w:w="14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b/>
                <w:bCs/>
                <w:kern w:val="0"/>
                <w:sz w:val="24"/>
                <w:szCs w:val="24"/>
              </w:rPr>
            </w:pPr>
          </w:p>
        </w:tc>
        <w:tc>
          <w:tcPr>
            <w:tcW w:w="12350"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kern w:val="0"/>
                <w:sz w:val="24"/>
                <w:szCs w:val="24"/>
              </w:rPr>
            </w:pPr>
          </w:p>
        </w:tc>
      </w:tr>
      <w:tr>
        <w:tblPrEx>
          <w:tblCellMar>
            <w:top w:w="0" w:type="dxa"/>
            <w:left w:w="108" w:type="dxa"/>
            <w:bottom w:w="0" w:type="dxa"/>
            <w:right w:w="108" w:type="dxa"/>
          </w:tblCellMar>
        </w:tblPrEx>
        <w:trPr>
          <w:trHeight w:val="1065" w:hRule="atLeast"/>
        </w:trPr>
        <w:tc>
          <w:tcPr>
            <w:tcW w:w="14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b/>
                <w:bCs/>
                <w:kern w:val="0"/>
                <w:sz w:val="24"/>
                <w:szCs w:val="24"/>
              </w:rPr>
            </w:pPr>
          </w:p>
        </w:tc>
        <w:tc>
          <w:tcPr>
            <w:tcW w:w="12350"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kern w:val="0"/>
                <w:sz w:val="24"/>
                <w:szCs w:val="24"/>
              </w:rPr>
            </w:pPr>
          </w:p>
        </w:tc>
      </w:tr>
    </w:tbl>
    <w:p>
      <w:pPr>
        <w:snapToGrid w:val="0"/>
        <w:spacing w:line="360" w:lineRule="auto"/>
        <w:ind w:firstLine="200"/>
        <w:rPr>
          <w:rFonts w:ascii="宋体"/>
          <w:color w:val="000000"/>
          <w:sz w:val="24"/>
        </w:rPr>
        <w:sectPr>
          <w:pgSz w:w="16838" w:h="11906" w:orient="landscape"/>
          <w:pgMar w:top="1276" w:right="1440" w:bottom="993" w:left="1440" w:header="851" w:footer="992" w:gutter="0"/>
          <w:cols w:space="425" w:num="1"/>
          <w:docGrid w:type="linesAndChars" w:linePitch="312" w:charSpace="0"/>
        </w:sectPr>
      </w:pPr>
    </w:p>
    <w:tbl>
      <w:tblPr>
        <w:tblStyle w:val="6"/>
        <w:tblW w:w="9180" w:type="dxa"/>
        <w:jc w:val="center"/>
        <w:tblLayout w:type="autofit"/>
        <w:tblCellMar>
          <w:top w:w="0" w:type="dxa"/>
          <w:left w:w="108" w:type="dxa"/>
          <w:bottom w:w="0" w:type="dxa"/>
          <w:right w:w="108" w:type="dxa"/>
        </w:tblCellMar>
      </w:tblPr>
      <w:tblGrid>
        <w:gridCol w:w="1080"/>
        <w:gridCol w:w="1080"/>
        <w:gridCol w:w="1080"/>
        <w:gridCol w:w="1080"/>
        <w:gridCol w:w="2020"/>
        <w:gridCol w:w="1460"/>
        <w:gridCol w:w="1380"/>
      </w:tblGrid>
      <w:tr>
        <w:tblPrEx>
          <w:tblCellMar>
            <w:top w:w="0" w:type="dxa"/>
            <w:left w:w="108" w:type="dxa"/>
            <w:bottom w:w="0" w:type="dxa"/>
            <w:right w:w="108" w:type="dxa"/>
          </w:tblCellMar>
        </w:tblPrEx>
        <w:trPr>
          <w:trHeight w:val="630" w:hRule="atLeast"/>
          <w:jc w:val="center"/>
        </w:trPr>
        <w:tc>
          <w:tcPr>
            <w:tcW w:w="9180" w:type="dxa"/>
            <w:gridSpan w:val="7"/>
            <w:tcBorders>
              <w:top w:val="nil"/>
              <w:left w:val="nil"/>
              <w:bottom w:val="nil"/>
              <w:right w:val="nil"/>
            </w:tcBorders>
            <w:noWrap/>
            <w:vAlign w:val="center"/>
          </w:tcPr>
          <w:p>
            <w:pPr>
              <w:snapToGrid w:val="0"/>
              <w:spacing w:line="360" w:lineRule="auto"/>
              <w:ind w:firstLine="200"/>
              <w:rPr>
                <w:rFonts w:ascii="宋体"/>
                <w:color w:val="000000"/>
                <w:sz w:val="24"/>
              </w:rPr>
            </w:pPr>
            <w:r>
              <w:rPr>
                <w:rFonts w:hint="eastAsia" w:ascii="宋体" w:hAnsi="宋体"/>
                <w:color w:val="000000"/>
                <w:sz w:val="24"/>
              </w:rPr>
              <w:t>附件</w:t>
            </w:r>
            <w:r>
              <w:rPr>
                <w:rFonts w:ascii="宋体" w:hAnsi="宋体"/>
                <w:color w:val="000000"/>
                <w:sz w:val="24"/>
              </w:rPr>
              <w:t>2</w:t>
            </w:r>
            <w:r>
              <w:rPr>
                <w:rFonts w:hint="eastAsia" w:ascii="宋体" w:hAnsi="宋体"/>
                <w:color w:val="000000"/>
                <w:sz w:val="24"/>
              </w:rPr>
              <w:t>：</w:t>
            </w:r>
          </w:p>
          <w:p>
            <w:pPr>
              <w:widowControl/>
              <w:jc w:val="center"/>
              <w:rPr>
                <w:rFonts w:ascii="宋体" w:cs="宋体"/>
                <w:b/>
                <w:bCs/>
                <w:color w:val="000000"/>
                <w:kern w:val="0"/>
                <w:sz w:val="32"/>
                <w:szCs w:val="32"/>
              </w:rPr>
            </w:pPr>
            <w:r>
              <w:rPr>
                <w:rFonts w:hint="eastAsia" w:ascii="宋体" w:hAnsi="宋体" w:cs="宋体"/>
                <w:b/>
                <w:bCs/>
                <w:color w:val="000000"/>
                <w:kern w:val="0"/>
                <w:sz w:val="32"/>
                <w:szCs w:val="32"/>
              </w:rPr>
              <w:t>英语口语技能大赛（</w:t>
            </w:r>
            <w:r>
              <w:rPr>
                <w:rFonts w:ascii="宋体" w:hAnsi="宋体" w:cs="宋体"/>
                <w:b/>
                <w:bCs/>
                <w:color w:val="000000"/>
                <w:kern w:val="0"/>
                <w:sz w:val="32"/>
                <w:szCs w:val="32"/>
              </w:rPr>
              <w:t xml:space="preserve">    </w:t>
            </w:r>
            <w:r>
              <w:rPr>
                <w:rFonts w:hint="eastAsia" w:ascii="宋体" w:hAnsi="宋体" w:cs="宋体"/>
                <w:b/>
                <w:bCs/>
                <w:color w:val="000000"/>
                <w:kern w:val="0"/>
                <w:sz w:val="32"/>
                <w:szCs w:val="32"/>
              </w:rPr>
              <w:t>组）成绩汇总表</w:t>
            </w:r>
          </w:p>
        </w:tc>
      </w:tr>
      <w:tr>
        <w:tblPrEx>
          <w:tblCellMar>
            <w:top w:w="0" w:type="dxa"/>
            <w:left w:w="108" w:type="dxa"/>
            <w:bottom w:w="0" w:type="dxa"/>
            <w:right w:w="108" w:type="dxa"/>
          </w:tblCellMar>
        </w:tblPrEx>
        <w:trPr>
          <w:trHeight w:val="435"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序号</w:t>
            </w:r>
          </w:p>
        </w:tc>
        <w:tc>
          <w:tcPr>
            <w:tcW w:w="1080"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选手姓名</w:t>
            </w:r>
          </w:p>
        </w:tc>
        <w:tc>
          <w:tcPr>
            <w:tcW w:w="1080"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性别</w:t>
            </w:r>
          </w:p>
        </w:tc>
        <w:tc>
          <w:tcPr>
            <w:tcW w:w="1080"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所在系部</w:t>
            </w:r>
          </w:p>
        </w:tc>
        <w:tc>
          <w:tcPr>
            <w:tcW w:w="2020"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所在班级及学号</w:t>
            </w:r>
          </w:p>
        </w:tc>
        <w:tc>
          <w:tcPr>
            <w:tcW w:w="1460"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成绩</w:t>
            </w:r>
          </w:p>
        </w:tc>
        <w:tc>
          <w:tcPr>
            <w:tcW w:w="1380"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获奖等次</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2"/>
              </w:rPr>
            </w:pPr>
            <w:r>
              <w:rPr>
                <w:rFonts w:hint="eastAsia" w:ascii="宋体" w:hAnsi="宋体" w:cs="宋体"/>
                <w:color w:val="000000"/>
                <w:kern w:val="0"/>
                <w:sz w:val="22"/>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3</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4</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5</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6</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7</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8</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9</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10</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11</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12</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13</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14</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15</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5"/>
                <w:szCs w:val="15"/>
              </w:rPr>
            </w:pPr>
            <w:r>
              <w:rPr>
                <w:rFonts w:hint="eastAsia" w:ascii="宋体" w:hAnsi="宋体" w:cs="宋体"/>
                <w:color w:val="000000"/>
                <w:kern w:val="0"/>
                <w:sz w:val="15"/>
                <w:szCs w:val="15"/>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16</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17</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18</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19</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20</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21</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22</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08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020"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　</w:t>
            </w:r>
          </w:p>
        </w:tc>
        <w:tc>
          <w:tcPr>
            <w:tcW w:w="14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　</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23</w:t>
            </w:r>
          </w:p>
        </w:tc>
        <w:tc>
          <w:tcPr>
            <w:tcW w:w="108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08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08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202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46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38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r>
      <w:tr>
        <w:tblPrEx>
          <w:tblCellMar>
            <w:top w:w="0" w:type="dxa"/>
            <w:left w:w="108" w:type="dxa"/>
            <w:bottom w:w="0" w:type="dxa"/>
            <w:right w:w="108" w:type="dxa"/>
          </w:tblCellMar>
        </w:tblPrEx>
        <w:trPr>
          <w:trHeight w:val="435" w:hRule="atLeas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24</w:t>
            </w:r>
          </w:p>
        </w:tc>
        <w:tc>
          <w:tcPr>
            <w:tcW w:w="108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08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08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202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46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38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r>
      <w:tr>
        <w:tblPrEx>
          <w:tblCellMar>
            <w:top w:w="0" w:type="dxa"/>
            <w:left w:w="108" w:type="dxa"/>
            <w:bottom w:w="0" w:type="dxa"/>
            <w:right w:w="108" w:type="dxa"/>
          </w:tblCellMar>
        </w:tblPrEx>
        <w:trPr>
          <w:trHeight w:val="270" w:hRule="atLeast"/>
          <w:jc w:val="center"/>
        </w:trPr>
        <w:tc>
          <w:tcPr>
            <w:tcW w:w="1080" w:type="dxa"/>
            <w:tcBorders>
              <w:top w:val="nil"/>
              <w:left w:val="nil"/>
              <w:bottom w:val="nil"/>
              <w:right w:val="nil"/>
            </w:tcBorders>
            <w:noWrap/>
            <w:vAlign w:val="center"/>
          </w:tcPr>
          <w:p>
            <w:pPr>
              <w:widowControl/>
              <w:jc w:val="left"/>
              <w:rPr>
                <w:rFonts w:ascii="宋体" w:cs="宋体"/>
                <w:color w:val="000000"/>
                <w:kern w:val="0"/>
                <w:sz w:val="22"/>
              </w:rPr>
            </w:pPr>
          </w:p>
        </w:tc>
        <w:tc>
          <w:tcPr>
            <w:tcW w:w="1080" w:type="dxa"/>
            <w:tcBorders>
              <w:top w:val="nil"/>
              <w:left w:val="nil"/>
              <w:bottom w:val="nil"/>
              <w:right w:val="nil"/>
            </w:tcBorders>
            <w:noWrap/>
            <w:vAlign w:val="center"/>
          </w:tcPr>
          <w:p>
            <w:pPr>
              <w:widowControl/>
              <w:jc w:val="left"/>
              <w:rPr>
                <w:rFonts w:ascii="Times New Roman" w:hAnsi="Times New Roman"/>
                <w:kern w:val="0"/>
                <w:sz w:val="20"/>
                <w:szCs w:val="20"/>
              </w:rPr>
            </w:pPr>
          </w:p>
        </w:tc>
        <w:tc>
          <w:tcPr>
            <w:tcW w:w="1080" w:type="dxa"/>
            <w:tcBorders>
              <w:top w:val="nil"/>
              <w:left w:val="nil"/>
              <w:bottom w:val="nil"/>
              <w:right w:val="nil"/>
            </w:tcBorders>
            <w:noWrap/>
            <w:vAlign w:val="center"/>
          </w:tcPr>
          <w:p>
            <w:pPr>
              <w:widowControl/>
              <w:jc w:val="left"/>
              <w:rPr>
                <w:rFonts w:ascii="Times New Roman" w:hAnsi="Times New Roman"/>
                <w:kern w:val="0"/>
                <w:sz w:val="20"/>
                <w:szCs w:val="20"/>
              </w:rPr>
            </w:pPr>
          </w:p>
        </w:tc>
        <w:tc>
          <w:tcPr>
            <w:tcW w:w="1080" w:type="dxa"/>
            <w:tcBorders>
              <w:top w:val="nil"/>
              <w:left w:val="nil"/>
              <w:bottom w:val="nil"/>
              <w:right w:val="nil"/>
            </w:tcBorders>
            <w:noWrap/>
            <w:vAlign w:val="center"/>
          </w:tcPr>
          <w:p>
            <w:pPr>
              <w:widowControl/>
              <w:jc w:val="left"/>
              <w:rPr>
                <w:rFonts w:ascii="Times New Roman" w:hAnsi="Times New Roman"/>
                <w:kern w:val="0"/>
                <w:sz w:val="20"/>
                <w:szCs w:val="20"/>
              </w:rPr>
            </w:pPr>
          </w:p>
        </w:tc>
        <w:tc>
          <w:tcPr>
            <w:tcW w:w="2020" w:type="dxa"/>
            <w:tcBorders>
              <w:top w:val="nil"/>
              <w:left w:val="nil"/>
              <w:bottom w:val="nil"/>
              <w:right w:val="nil"/>
            </w:tcBorders>
            <w:noWrap/>
            <w:vAlign w:val="center"/>
          </w:tcPr>
          <w:p>
            <w:pPr>
              <w:widowControl/>
              <w:jc w:val="left"/>
              <w:rPr>
                <w:rFonts w:ascii="Times New Roman" w:hAnsi="Times New Roman"/>
                <w:kern w:val="0"/>
                <w:sz w:val="20"/>
                <w:szCs w:val="20"/>
              </w:rPr>
            </w:pPr>
          </w:p>
        </w:tc>
        <w:tc>
          <w:tcPr>
            <w:tcW w:w="1460" w:type="dxa"/>
            <w:tcBorders>
              <w:top w:val="nil"/>
              <w:left w:val="nil"/>
              <w:bottom w:val="nil"/>
              <w:right w:val="nil"/>
            </w:tcBorders>
            <w:noWrap/>
            <w:vAlign w:val="center"/>
          </w:tcPr>
          <w:p>
            <w:pPr>
              <w:widowControl/>
              <w:jc w:val="left"/>
              <w:rPr>
                <w:rFonts w:ascii="Times New Roman" w:hAnsi="Times New Roman"/>
                <w:kern w:val="0"/>
                <w:sz w:val="20"/>
                <w:szCs w:val="20"/>
              </w:rPr>
            </w:pPr>
          </w:p>
        </w:tc>
        <w:tc>
          <w:tcPr>
            <w:tcW w:w="1380" w:type="dxa"/>
            <w:tcBorders>
              <w:top w:val="nil"/>
              <w:left w:val="nil"/>
              <w:bottom w:val="nil"/>
              <w:right w:val="nil"/>
            </w:tcBorders>
            <w:noWrap/>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1170" w:hRule="atLeast"/>
          <w:jc w:val="center"/>
        </w:trPr>
        <w:tc>
          <w:tcPr>
            <w:tcW w:w="9180" w:type="dxa"/>
            <w:gridSpan w:val="7"/>
            <w:tcBorders>
              <w:top w:val="nil"/>
              <w:left w:val="nil"/>
              <w:bottom w:val="nil"/>
              <w:right w:val="nil"/>
            </w:tcBorders>
            <w:vAlign w:val="center"/>
          </w:tcPr>
          <w:p>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rPr>
              <w:t>裁判签名：</w:t>
            </w:r>
          </w:p>
          <w:p>
            <w:pPr>
              <w:widowControl/>
              <w:jc w:val="left"/>
              <w:rPr>
                <w:rFonts w:ascii="宋体" w:cs="宋体"/>
                <w:color w:val="000000"/>
                <w:kern w:val="0"/>
                <w:sz w:val="22"/>
              </w:rPr>
            </w:pPr>
            <w:r>
              <w:rPr>
                <w:rFonts w:ascii="宋体" w:hAnsi="宋体" w:cs="宋体"/>
                <w:color w:val="000000"/>
                <w:kern w:val="0"/>
                <w:sz w:val="22"/>
              </w:rPr>
              <w:t xml:space="preserve">                                                              </w:t>
            </w:r>
            <w:r>
              <w:rPr>
                <w:rFonts w:hint="eastAsia" w:ascii="宋体" w:hAnsi="宋体" w:cs="宋体"/>
                <w:color w:val="000000"/>
                <w:kern w:val="0"/>
                <w:sz w:val="22"/>
              </w:rPr>
              <w:t>年</w:t>
            </w:r>
            <w:r>
              <w:rPr>
                <w:rFonts w:ascii="宋体" w:hAnsi="宋体" w:cs="宋体"/>
                <w:color w:val="000000"/>
                <w:kern w:val="0"/>
                <w:sz w:val="22"/>
              </w:rPr>
              <w:t xml:space="preserve">    </w:t>
            </w:r>
            <w:r>
              <w:rPr>
                <w:rFonts w:hint="eastAsia" w:ascii="宋体" w:hAnsi="宋体" w:cs="宋体"/>
                <w:color w:val="000000"/>
                <w:kern w:val="0"/>
                <w:sz w:val="22"/>
              </w:rPr>
              <w:t>月</w:t>
            </w:r>
            <w:r>
              <w:rPr>
                <w:rFonts w:ascii="宋体" w:hAnsi="宋体" w:cs="宋体"/>
                <w:color w:val="000000"/>
                <w:kern w:val="0"/>
                <w:sz w:val="22"/>
              </w:rPr>
              <w:t xml:space="preserve">    </w:t>
            </w:r>
            <w:r>
              <w:rPr>
                <w:rFonts w:hint="eastAsia" w:ascii="宋体" w:hAnsi="宋体" w:cs="宋体"/>
                <w:color w:val="000000"/>
                <w:kern w:val="0"/>
                <w:sz w:val="22"/>
              </w:rPr>
              <w:t>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roman"/>
    <w:pitch w:val="default"/>
    <w:sig w:usb0="00000287" w:usb1="080F0000" w:usb2="00000000" w:usb3="00000000" w:csb0="0004009F" w:csb1="DFD70000"/>
  </w:font>
  <w:font w:name="华文中宋">
    <w:panose1 w:val="02010600040101010101"/>
    <w:charset w:val="86"/>
    <w:family w:val="roman"/>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701B"/>
    <w:rsid w:val="00000B7E"/>
    <w:rsid w:val="00045CDA"/>
    <w:rsid w:val="00074944"/>
    <w:rsid w:val="00081DC9"/>
    <w:rsid w:val="000B1234"/>
    <w:rsid w:val="001210D5"/>
    <w:rsid w:val="0012155A"/>
    <w:rsid w:val="0012440C"/>
    <w:rsid w:val="00126F43"/>
    <w:rsid w:val="00130B31"/>
    <w:rsid w:val="001548B3"/>
    <w:rsid w:val="00192130"/>
    <w:rsid w:val="001B1284"/>
    <w:rsid w:val="001C29B3"/>
    <w:rsid w:val="001C3187"/>
    <w:rsid w:val="001D2147"/>
    <w:rsid w:val="002138AD"/>
    <w:rsid w:val="0023099B"/>
    <w:rsid w:val="0024045F"/>
    <w:rsid w:val="00244745"/>
    <w:rsid w:val="00276467"/>
    <w:rsid w:val="002943FC"/>
    <w:rsid w:val="002D4DB5"/>
    <w:rsid w:val="002E4260"/>
    <w:rsid w:val="00323808"/>
    <w:rsid w:val="00332100"/>
    <w:rsid w:val="00341C85"/>
    <w:rsid w:val="00353FC3"/>
    <w:rsid w:val="003638D5"/>
    <w:rsid w:val="003965CB"/>
    <w:rsid w:val="003D1771"/>
    <w:rsid w:val="003E476D"/>
    <w:rsid w:val="003F5692"/>
    <w:rsid w:val="00436AD2"/>
    <w:rsid w:val="00486B5F"/>
    <w:rsid w:val="004B1795"/>
    <w:rsid w:val="004D5699"/>
    <w:rsid w:val="004F066F"/>
    <w:rsid w:val="005363E9"/>
    <w:rsid w:val="00552FE2"/>
    <w:rsid w:val="00560A5C"/>
    <w:rsid w:val="00577B62"/>
    <w:rsid w:val="005971F4"/>
    <w:rsid w:val="005A2AD3"/>
    <w:rsid w:val="005F1794"/>
    <w:rsid w:val="00650E6A"/>
    <w:rsid w:val="006940D9"/>
    <w:rsid w:val="006C1864"/>
    <w:rsid w:val="006D1564"/>
    <w:rsid w:val="006E1BFB"/>
    <w:rsid w:val="006F25A5"/>
    <w:rsid w:val="0071211A"/>
    <w:rsid w:val="0077179B"/>
    <w:rsid w:val="0078780F"/>
    <w:rsid w:val="007901E0"/>
    <w:rsid w:val="007A1FFA"/>
    <w:rsid w:val="007A4C7C"/>
    <w:rsid w:val="007B4F2D"/>
    <w:rsid w:val="00823E1B"/>
    <w:rsid w:val="008478C2"/>
    <w:rsid w:val="008633C0"/>
    <w:rsid w:val="0089461E"/>
    <w:rsid w:val="008A3B48"/>
    <w:rsid w:val="008A463A"/>
    <w:rsid w:val="008D51AE"/>
    <w:rsid w:val="008D5285"/>
    <w:rsid w:val="00917777"/>
    <w:rsid w:val="00920CDC"/>
    <w:rsid w:val="009446C3"/>
    <w:rsid w:val="009450DF"/>
    <w:rsid w:val="009E2DD9"/>
    <w:rsid w:val="009F67F7"/>
    <w:rsid w:val="00AA4E9B"/>
    <w:rsid w:val="00AB36ED"/>
    <w:rsid w:val="00AD5C3E"/>
    <w:rsid w:val="00AF7C8D"/>
    <w:rsid w:val="00B371A8"/>
    <w:rsid w:val="00B536CA"/>
    <w:rsid w:val="00B709FB"/>
    <w:rsid w:val="00BA58FE"/>
    <w:rsid w:val="00BE5D10"/>
    <w:rsid w:val="00BF5F5D"/>
    <w:rsid w:val="00C1368A"/>
    <w:rsid w:val="00CA1201"/>
    <w:rsid w:val="00CB59C2"/>
    <w:rsid w:val="00CE3932"/>
    <w:rsid w:val="00D3605F"/>
    <w:rsid w:val="00D47DF8"/>
    <w:rsid w:val="00D62884"/>
    <w:rsid w:val="00D72A7D"/>
    <w:rsid w:val="00D87B9D"/>
    <w:rsid w:val="00E26F0F"/>
    <w:rsid w:val="00E27E35"/>
    <w:rsid w:val="00E32497"/>
    <w:rsid w:val="00E9701B"/>
    <w:rsid w:val="00EA4F03"/>
    <w:rsid w:val="00ED1D68"/>
    <w:rsid w:val="00F324A4"/>
    <w:rsid w:val="00F6005C"/>
    <w:rsid w:val="00F943C4"/>
    <w:rsid w:val="00F95769"/>
    <w:rsid w:val="00FA7165"/>
    <w:rsid w:val="00FB0A58"/>
    <w:rsid w:val="00FC4392"/>
    <w:rsid w:val="0A0449FD"/>
    <w:rsid w:val="1D7216C1"/>
    <w:rsid w:val="7FFA5BD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0"/>
    <w:qFormat/>
    <w:uiPriority w:val="99"/>
    <w:pPr>
      <w:widowControl/>
      <w:spacing w:before="100" w:beforeAutospacing="1" w:after="100" w:afterAutospacing="1"/>
      <w:jc w:val="left"/>
      <w:outlineLvl w:val="1"/>
    </w:pPr>
    <w:rPr>
      <w:rFonts w:ascii="宋体" w:hAnsi="宋体" w:cs="宋体"/>
      <w:kern w:val="0"/>
      <w:sz w:val="24"/>
      <w:szCs w:val="24"/>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7"/>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99"/>
    <w:rPr>
      <w:rFonts w:cs="Times New Roman"/>
      <w:b/>
      <w:bCs/>
    </w:rPr>
  </w:style>
  <w:style w:type="character" w:styleId="9">
    <w:name w:val="Hyperlink"/>
    <w:basedOn w:val="7"/>
    <w:semiHidden/>
    <w:qFormat/>
    <w:uiPriority w:val="99"/>
    <w:rPr>
      <w:rFonts w:cs="Times New Roman"/>
      <w:color w:val="607FA6"/>
      <w:u w:val="none"/>
    </w:rPr>
  </w:style>
  <w:style w:type="character" w:customStyle="1" w:styleId="10">
    <w:name w:val="Heading 2 Char"/>
    <w:basedOn w:val="7"/>
    <w:link w:val="2"/>
    <w:qFormat/>
    <w:locked/>
    <w:uiPriority w:val="99"/>
    <w:rPr>
      <w:rFonts w:ascii="宋体" w:hAnsi="宋体" w:eastAsia="宋体" w:cs="宋体"/>
      <w:kern w:val="0"/>
      <w:sz w:val="24"/>
      <w:szCs w:val="24"/>
    </w:rPr>
  </w:style>
  <w:style w:type="character" w:customStyle="1" w:styleId="11">
    <w:name w:val="Header Char"/>
    <w:basedOn w:val="7"/>
    <w:link w:val="5"/>
    <w:qFormat/>
    <w:locked/>
    <w:uiPriority w:val="99"/>
    <w:rPr>
      <w:rFonts w:cs="Times New Roman"/>
      <w:sz w:val="18"/>
      <w:szCs w:val="18"/>
    </w:rPr>
  </w:style>
  <w:style w:type="character" w:customStyle="1" w:styleId="12">
    <w:name w:val="Footer Char"/>
    <w:basedOn w:val="7"/>
    <w:link w:val="4"/>
    <w:qFormat/>
    <w:locked/>
    <w:uiPriority w:val="99"/>
    <w:rPr>
      <w:rFonts w:cs="Times New Roman"/>
      <w:sz w:val="18"/>
      <w:szCs w:val="18"/>
    </w:rPr>
  </w:style>
  <w:style w:type="character" w:customStyle="1" w:styleId="13">
    <w:name w:val="rich_media_meta1"/>
    <w:basedOn w:val="7"/>
    <w:qFormat/>
    <w:uiPriority w:val="99"/>
    <w:rPr>
      <w:rFonts w:cs="Times New Roman"/>
      <w:sz w:val="24"/>
      <w:szCs w:val="24"/>
    </w:rPr>
  </w:style>
  <w:style w:type="paragraph" w:customStyle="1" w:styleId="14">
    <w:name w:val="profile_meta"/>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15">
    <w:name w:val="profile_meta_value"/>
    <w:basedOn w:val="7"/>
    <w:qFormat/>
    <w:uiPriority w:val="99"/>
    <w:rPr>
      <w:rFonts w:cs="Times New Roman"/>
    </w:rPr>
  </w:style>
  <w:style w:type="paragraph" w:styleId="16">
    <w:name w:val="List Paragraph"/>
    <w:basedOn w:val="1"/>
    <w:qFormat/>
    <w:uiPriority w:val="99"/>
    <w:pPr>
      <w:ind w:firstLine="420" w:firstLineChars="200"/>
    </w:pPr>
  </w:style>
  <w:style w:type="character" w:customStyle="1" w:styleId="17">
    <w:name w:val="Balloon Text Char"/>
    <w:basedOn w:val="7"/>
    <w:link w:val="3"/>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Microsoft</Company>
  <Pages>9</Pages>
  <Words>2407</Words>
  <Characters>2535</Characters>
  <Lines>0</Lines>
  <Paragraphs>0</Paragraphs>
  <TotalTime>0</TotalTime>
  <ScaleCrop>false</ScaleCrop>
  <LinksUpToDate>false</LinksUpToDate>
  <CharactersWithSpaces>2890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2017-10-19T08:32:00Z</dcterms:created>
  <dc:creator>user</dc:creator>
  <cp:lastModifiedBy>英子</cp:lastModifiedBy>
  <dcterms:modified xsi:type="dcterms:W3CDTF">2022-04-16T01:10:42Z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eyJoZGlkIjoiNTc4NDE0N2I0NTU0YzVjNjdiYjRlZjkwOGM2ZDZmZTIifQ==</vt:lpwstr>
  </property>
  <property fmtid="{D5CDD505-2E9C-101B-9397-08002B2CF9AE}" pid="3" name="KSOProductBuildVer">
    <vt:lpwstr>2052-11.1.0.11636</vt:lpwstr>
  </property>
  <property fmtid="{D5CDD505-2E9C-101B-9397-08002B2CF9AE}" pid="4" name="ICV">
    <vt:lpwstr>DCBD818DD9D34D5D9F49C252E42DD7EB</vt:lpwstr>
  </property>
</Properties>
</file>