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jc w:val="center"/>
        <w:rPr>
          <w:rFonts w:ascii="黑体" w:hAnsi="宋体" w:eastAsia="黑体" w:cs="Calibri"/>
          <w:b/>
          <w:bCs/>
          <w:sz w:val="36"/>
          <w:szCs w:val="36"/>
        </w:rPr>
      </w:pPr>
      <w:r>
        <w:rPr>
          <w:rFonts w:ascii="黑体" w:hAnsi="宋体" w:eastAsia="黑体" w:cs="Calibri"/>
          <w:b/>
          <w:bCs/>
          <w:sz w:val="36"/>
          <w:szCs w:val="36"/>
        </w:rPr>
        <w:t>2022</w:t>
      </w:r>
      <w:r>
        <w:rPr>
          <w:rFonts w:hint="eastAsia" w:ascii="黑体" w:hAnsi="宋体" w:eastAsia="黑体" w:cs="Calibri"/>
          <w:b/>
          <w:bCs/>
          <w:sz w:val="36"/>
          <w:szCs w:val="36"/>
        </w:rPr>
        <w:t>年教育系</w:t>
      </w:r>
      <w:r>
        <w:rPr>
          <w:rFonts w:ascii="黑体" w:hAnsi="宋体" w:eastAsia="黑体" w:cs="Calibri"/>
          <w:b/>
          <w:bCs/>
          <w:sz w:val="36"/>
          <w:szCs w:val="36"/>
        </w:rPr>
        <w:t xml:space="preserve"> </w:t>
      </w:r>
      <w:r>
        <w:rPr>
          <w:rFonts w:hint="eastAsia" w:ascii="黑体" w:hAnsi="宋体" w:eastAsia="黑体" w:cs="Calibri"/>
          <w:b/>
          <w:bCs/>
          <w:sz w:val="36"/>
          <w:szCs w:val="36"/>
        </w:rPr>
        <w:t>“外研社杯”演讲大赛方案</w:t>
      </w:r>
    </w:p>
    <w:p>
      <w:pPr>
        <w:pStyle w:val="16"/>
        <w:snapToGrid w:val="0"/>
        <w:spacing w:line="360" w:lineRule="auto"/>
        <w:ind w:firstLine="31680"/>
        <w:rPr>
          <w:rFonts w:ascii="仿宋" w:hAnsi="仿宋" w:eastAsia="仿宋" w:cs="Calibri"/>
          <w:bCs/>
          <w:sz w:val="28"/>
          <w:szCs w:val="28"/>
        </w:rPr>
      </w:pPr>
    </w:p>
    <w:p>
      <w:pPr>
        <w:pStyle w:val="16"/>
        <w:snapToGrid w:val="0"/>
        <w:spacing w:line="360" w:lineRule="auto"/>
        <w:ind w:firstLine="31680"/>
        <w:rPr>
          <w:rFonts w:ascii="仿宋" w:hAnsi="仿宋" w:eastAsia="仿宋" w:cs="Calibri"/>
          <w:bCs/>
          <w:sz w:val="28"/>
          <w:szCs w:val="28"/>
        </w:rPr>
      </w:pPr>
      <w:r>
        <w:rPr>
          <w:rFonts w:hint="eastAsia" w:ascii="仿宋" w:hAnsi="仿宋" w:eastAsia="仿宋" w:cs="Calibri"/>
          <w:bCs/>
          <w:sz w:val="28"/>
          <w:szCs w:val="28"/>
        </w:rPr>
        <w:t>根据学院《</w:t>
      </w:r>
      <w:r>
        <w:rPr>
          <w:rFonts w:hint="eastAsia" w:ascii="仿宋" w:hAnsi="仿宋" w:eastAsia="仿宋"/>
          <w:bCs/>
          <w:sz w:val="28"/>
          <w:szCs w:val="28"/>
        </w:rPr>
        <w:t>关于做好</w:t>
      </w:r>
      <w:r>
        <w:rPr>
          <w:rFonts w:ascii="仿宋" w:hAnsi="仿宋" w:eastAsia="仿宋"/>
          <w:bCs/>
          <w:sz w:val="28"/>
          <w:szCs w:val="28"/>
        </w:rPr>
        <w:t>2022</w:t>
      </w:r>
      <w:r>
        <w:rPr>
          <w:rFonts w:hint="eastAsia" w:ascii="仿宋" w:hAnsi="仿宋" w:eastAsia="仿宋"/>
          <w:bCs/>
          <w:sz w:val="28"/>
          <w:szCs w:val="28"/>
        </w:rPr>
        <w:t>年院级职业技能大赛工作的预通知</w:t>
      </w:r>
      <w:r>
        <w:rPr>
          <w:rFonts w:hint="eastAsia" w:ascii="仿宋" w:hAnsi="仿宋" w:eastAsia="仿宋" w:cs="Calibri"/>
          <w:bCs/>
          <w:sz w:val="28"/>
          <w:szCs w:val="28"/>
        </w:rPr>
        <w:t>》要求，面向全院各专业学生举办的年度性大赛，旨在提高学生职业英语口语表达能力，加强学生职业英语能力的培养，同时选拔优秀选手参加</w:t>
      </w:r>
      <w:r>
        <w:rPr>
          <w:rFonts w:ascii="仿宋" w:hAnsi="仿宋" w:eastAsia="仿宋" w:cs="Calibri"/>
          <w:bCs/>
          <w:sz w:val="28"/>
          <w:szCs w:val="28"/>
        </w:rPr>
        <w:t>2022</w:t>
      </w:r>
      <w:r>
        <w:rPr>
          <w:rFonts w:hint="eastAsia" w:ascii="仿宋" w:hAnsi="仿宋" w:eastAsia="仿宋" w:cs="Calibri"/>
          <w:bCs/>
          <w:sz w:val="28"/>
          <w:szCs w:val="28"/>
        </w:rPr>
        <w:t>年安徽省高职院校“外研社杯”英语</w:t>
      </w:r>
      <w:r>
        <w:rPr>
          <w:rFonts w:hint="eastAsia" w:ascii="仿宋" w:hAnsi="仿宋" w:eastAsia="仿宋" w:cs="Calibri"/>
          <w:bCs/>
          <w:sz w:val="28"/>
          <w:szCs w:val="28"/>
          <w:lang w:val="en-US" w:eastAsia="zh-CN"/>
        </w:rPr>
        <w:t>演讲</w:t>
      </w:r>
      <w:r>
        <w:rPr>
          <w:rFonts w:hint="eastAsia" w:ascii="仿宋" w:hAnsi="仿宋" w:eastAsia="仿宋" w:cs="Calibri"/>
          <w:bCs/>
          <w:sz w:val="28"/>
          <w:szCs w:val="28"/>
        </w:rPr>
        <w:t>大赛。外语教研室组织教师编制本大赛方案，为组织实施本届技能大赛提供依据。</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一、</w:t>
      </w:r>
      <w:r>
        <w:rPr>
          <w:rFonts w:hint="eastAsia" w:ascii="仿宋" w:hAnsi="仿宋" w:eastAsia="仿宋" w:cs="Calibri"/>
          <w:b/>
          <w:bCs/>
          <w:sz w:val="28"/>
          <w:szCs w:val="28"/>
        </w:rPr>
        <w:t>赛项名称</w:t>
      </w:r>
    </w:p>
    <w:p>
      <w:pPr>
        <w:pStyle w:val="16"/>
        <w:snapToGrid w:val="0"/>
        <w:spacing w:line="360" w:lineRule="auto"/>
        <w:ind w:left="643" w:firstLine="0" w:firstLineChars="0"/>
        <w:rPr>
          <w:rFonts w:ascii="仿宋" w:hAnsi="仿宋" w:eastAsia="仿宋" w:cs="Calibri"/>
          <w:bCs/>
          <w:sz w:val="28"/>
          <w:szCs w:val="28"/>
        </w:rPr>
      </w:pPr>
      <w:r>
        <w:rPr>
          <w:rFonts w:ascii="仿宋" w:hAnsi="仿宋" w:eastAsia="仿宋" w:cs="Calibri"/>
          <w:bCs/>
          <w:sz w:val="28"/>
          <w:szCs w:val="28"/>
        </w:rPr>
        <w:t>2022</w:t>
      </w:r>
      <w:r>
        <w:rPr>
          <w:rFonts w:hint="eastAsia" w:ascii="仿宋" w:hAnsi="仿宋" w:eastAsia="仿宋" w:cs="Calibri"/>
          <w:bCs/>
          <w:sz w:val="28"/>
          <w:szCs w:val="28"/>
        </w:rPr>
        <w:t>年</w:t>
      </w:r>
      <w:r>
        <w:rPr>
          <w:rFonts w:ascii="仿宋" w:hAnsi="仿宋" w:eastAsia="仿宋" w:cs="Calibri"/>
          <w:bCs/>
          <w:sz w:val="28"/>
          <w:szCs w:val="28"/>
        </w:rPr>
        <w:t xml:space="preserve"> </w:t>
      </w:r>
      <w:r>
        <w:rPr>
          <w:rFonts w:hint="eastAsia" w:ascii="仿宋" w:hAnsi="仿宋" w:eastAsia="仿宋" w:cs="Calibri"/>
          <w:bCs/>
          <w:sz w:val="28"/>
          <w:szCs w:val="28"/>
        </w:rPr>
        <w:t>“外研社杯”演讲大赛方案</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二、竞赛分类及参赛对象</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大赛分为公共英语组和专业英语两个组别。</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、公共英语组</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报名面向全院各非英语专业学生，在全面考察的基础上由各班推荐人选，人数不超过</w:t>
      </w:r>
      <w:r>
        <w:rPr>
          <w:rFonts w:ascii="仿宋" w:hAnsi="仿宋" w:eastAsia="仿宋" w:cs="Calibri"/>
          <w:bCs/>
          <w:sz w:val="28"/>
          <w:szCs w:val="28"/>
        </w:rPr>
        <w:t>50</w:t>
      </w:r>
      <w:r>
        <w:rPr>
          <w:rFonts w:hint="eastAsia" w:ascii="仿宋" w:hAnsi="仿宋" w:eastAsia="仿宋" w:cs="Calibri"/>
          <w:bCs/>
          <w:sz w:val="28"/>
          <w:szCs w:val="28"/>
        </w:rPr>
        <w:t>人。</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、专业英语组</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报名面向院商务英语专业的学生，在全面考察的基础上由所在班级推荐人选，人数不超过</w:t>
      </w:r>
      <w:r>
        <w:rPr>
          <w:rFonts w:ascii="仿宋" w:hAnsi="仿宋" w:eastAsia="仿宋" w:cs="Calibri"/>
          <w:bCs/>
          <w:sz w:val="28"/>
          <w:szCs w:val="28"/>
        </w:rPr>
        <w:t>20</w:t>
      </w:r>
      <w:r>
        <w:rPr>
          <w:rFonts w:hint="eastAsia" w:ascii="仿宋" w:hAnsi="仿宋" w:eastAsia="仿宋" w:cs="Calibri"/>
          <w:bCs/>
          <w:sz w:val="28"/>
          <w:szCs w:val="28"/>
        </w:rPr>
        <w:t>人。</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三、赛前准备</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、抽签</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各组别的参赛选手通过抽签确定参赛顺序。抽签秉承“公开、公平、公正”的原则，按照赛项的具体抽签时间，赛项执委会将首先点名确认每一位参赛选手已到场（由于特殊原因无法到场的参赛选手须提前告知赛项执委会并出具由本人亲笔签名的书面委托书，指定其代理人代为抽签并声明承认抽签结果有效）。没有按时到场抽签，或无故缺席抽签环节的选手，将视为自动放弃抽签，其抽签结果由赛项执委会在优先安排其他选手抽签之后决定。</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、参赛选手入场</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参赛选手应提前</w:t>
      </w:r>
      <w:r>
        <w:rPr>
          <w:rFonts w:ascii="仿宋" w:hAnsi="仿宋" w:eastAsia="仿宋" w:cs="Calibri"/>
          <w:bCs/>
          <w:sz w:val="28"/>
          <w:szCs w:val="28"/>
        </w:rPr>
        <w:t>15</w:t>
      </w:r>
      <w:r>
        <w:rPr>
          <w:rFonts w:hint="eastAsia" w:ascii="仿宋" w:hAnsi="仿宋" w:eastAsia="仿宋" w:cs="Calibri"/>
          <w:bCs/>
          <w:sz w:val="28"/>
          <w:szCs w:val="28"/>
        </w:rPr>
        <w:t>分钟到达赛场，并凭参赛证、</w:t>
      </w:r>
      <w:r>
        <w:rPr>
          <w:rFonts w:hint="eastAsia" w:ascii="仿宋" w:hAnsi="仿宋" w:eastAsia="仿宋" w:cs="Calibri"/>
          <w:bCs/>
          <w:sz w:val="28"/>
          <w:szCs w:val="28"/>
          <w:lang w:val="en-US" w:eastAsia="zh-CN"/>
        </w:rPr>
        <w:t>学生证、</w:t>
      </w:r>
      <w:r>
        <w:rPr>
          <w:rFonts w:hint="eastAsia" w:ascii="仿宋" w:hAnsi="仿宋" w:eastAsia="仿宋" w:cs="Calibri"/>
          <w:bCs/>
          <w:sz w:val="28"/>
          <w:szCs w:val="28"/>
        </w:rPr>
        <w:t>身份证检录，按要求入场，不得迟到早退，未按照规定时间到场视为自动放弃比赛。之后在候赛室等候，由引导员核对参赛选手信息。严禁参赛选手携带与竞赛无关的电子设备、通讯设备及其他相关资料与用品入场。</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四、竞赛时间和地点</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竞赛时间初步定在</w:t>
      </w:r>
      <w:r>
        <w:rPr>
          <w:rFonts w:ascii="仿宋" w:hAnsi="仿宋" w:eastAsia="仿宋" w:cs="Arial"/>
          <w:color w:val="000000"/>
          <w:sz w:val="28"/>
          <w:szCs w:val="28"/>
        </w:rPr>
        <w:t>2022</w:t>
      </w:r>
      <w:r>
        <w:rPr>
          <w:rFonts w:hint="eastAsia" w:ascii="仿宋" w:hAnsi="仿宋" w:eastAsia="仿宋" w:cs="Arial"/>
          <w:color w:val="000000"/>
          <w:sz w:val="28"/>
          <w:szCs w:val="28"/>
        </w:rPr>
        <w:t>年</w:t>
      </w:r>
      <w:r>
        <w:rPr>
          <w:rFonts w:hint="eastAsia" w:ascii="仿宋" w:hAnsi="仿宋" w:eastAsia="仿宋" w:cs="Arial"/>
          <w:color w:val="000000"/>
          <w:sz w:val="28"/>
          <w:szCs w:val="28"/>
          <w:lang w:val="en-US" w:eastAsia="zh-CN"/>
        </w:rPr>
        <w:t>5月</w:t>
      </w:r>
      <w:r>
        <w:rPr>
          <w:rFonts w:ascii="仿宋" w:hAnsi="仿宋" w:eastAsia="仿宋" w:cs="Arial"/>
          <w:color w:val="000000"/>
          <w:sz w:val="28"/>
          <w:szCs w:val="28"/>
        </w:rPr>
        <w:t>2</w:t>
      </w:r>
      <w:r>
        <w:rPr>
          <w:rFonts w:hint="eastAsia" w:ascii="仿宋" w:hAnsi="仿宋" w:eastAsia="仿宋" w:cs="Arial"/>
          <w:color w:val="000000"/>
          <w:sz w:val="28"/>
          <w:szCs w:val="28"/>
          <w:lang w:val="en-US" w:eastAsia="zh-CN"/>
        </w:rPr>
        <w:t>7日</w:t>
      </w:r>
      <w:bookmarkStart w:id="0" w:name="_GoBack"/>
      <w:bookmarkEnd w:id="0"/>
      <w:r>
        <w:rPr>
          <w:rFonts w:hint="eastAsia" w:ascii="仿宋" w:hAnsi="仿宋" w:eastAsia="仿宋" w:cs="Calibri"/>
          <w:bCs/>
          <w:sz w:val="28"/>
          <w:szCs w:val="28"/>
        </w:rPr>
        <w:t>，考场设在尚智楼。</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五、竞赛内容</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竞赛共包含</w:t>
      </w:r>
      <w:r>
        <w:rPr>
          <w:rFonts w:ascii="仿宋" w:hAnsi="仿宋" w:eastAsia="仿宋" w:cs="Calibri"/>
          <w:bCs/>
          <w:sz w:val="28"/>
          <w:szCs w:val="28"/>
        </w:rPr>
        <w:t>2</w:t>
      </w:r>
      <w:r>
        <w:rPr>
          <w:rFonts w:hint="eastAsia" w:ascii="仿宋" w:hAnsi="仿宋" w:eastAsia="仿宋" w:cs="Calibri"/>
          <w:bCs/>
          <w:sz w:val="28"/>
          <w:szCs w:val="28"/>
        </w:rPr>
        <w:t>个项目：</w:t>
      </w:r>
    </w:p>
    <w:p>
      <w:pPr>
        <w:snapToGrid w:val="0"/>
        <w:spacing w:line="360" w:lineRule="auto"/>
        <w:ind w:firstLine="560" w:firstLineChars="200"/>
        <w:rPr>
          <w:rFonts w:hint="default" w:ascii="仿宋" w:hAnsi="仿宋" w:eastAsia="仿宋" w:cs="Calibri"/>
          <w:bCs/>
          <w:sz w:val="28"/>
          <w:szCs w:val="28"/>
          <w:lang w:val="en-US" w:eastAsia="zh-CN"/>
        </w:rPr>
      </w:pPr>
      <w:r>
        <w:rPr>
          <w:rFonts w:ascii="仿宋" w:hAnsi="仿宋" w:eastAsia="仿宋" w:cs="Calibri"/>
          <w:bCs/>
          <w:sz w:val="28"/>
          <w:szCs w:val="28"/>
        </w:rPr>
        <w:t>1</w:t>
      </w:r>
      <w:r>
        <w:rPr>
          <w:rFonts w:hint="eastAsia" w:ascii="仿宋" w:hAnsi="仿宋" w:eastAsia="仿宋" w:cs="Calibri"/>
          <w:bCs/>
          <w:sz w:val="28"/>
          <w:szCs w:val="28"/>
        </w:rPr>
        <w:t>、</w:t>
      </w:r>
      <w:r>
        <w:rPr>
          <w:rFonts w:hint="eastAsia" w:ascii="仿宋" w:hAnsi="仿宋" w:eastAsia="仿宋" w:cs="Calibri"/>
          <w:bCs/>
          <w:sz w:val="28"/>
          <w:szCs w:val="28"/>
          <w:lang w:val="en-US" w:eastAsia="zh-CN"/>
        </w:rPr>
        <w:t>定题演讲</w:t>
      </w:r>
    </w:p>
    <w:p>
      <w:pPr>
        <w:snapToGrid w:val="0"/>
        <w:spacing w:line="360" w:lineRule="auto"/>
        <w:ind w:firstLine="560" w:firstLineChars="200"/>
        <w:rPr>
          <w:rFonts w:hint="eastAsia" w:ascii="仿宋" w:hAnsi="仿宋" w:eastAsia="仿宋" w:cs="Calibri"/>
          <w:bCs/>
          <w:sz w:val="28"/>
          <w:szCs w:val="28"/>
          <w:lang w:val="en-US" w:eastAsia="zh-CN"/>
        </w:rPr>
      </w:pPr>
      <w:r>
        <w:rPr>
          <w:rFonts w:hint="eastAsia" w:ascii="仿宋" w:hAnsi="仿宋" w:eastAsia="仿宋" w:cs="Calibri"/>
          <w:bCs/>
          <w:sz w:val="28"/>
          <w:szCs w:val="28"/>
          <w:lang w:val="en-US" w:eastAsia="zh-CN"/>
        </w:rPr>
        <w:t>以本次大赛官网</w:t>
      </w:r>
      <w:r>
        <w:rPr>
          <w:rFonts w:hint="eastAsia" w:ascii="仿宋" w:hAnsi="仿宋" w:eastAsia="仿宋" w:cs="Calibri"/>
          <w:bCs/>
          <w:sz w:val="28"/>
          <w:szCs w:val="28"/>
        </w:rPr>
        <w:t>(</w:t>
      </w:r>
      <w:r>
        <w:rPr>
          <w:rFonts w:ascii="仿宋" w:hAnsi="仿宋" w:eastAsia="仿宋" w:cs="Calibri"/>
          <w:bCs/>
          <w:sz w:val="28"/>
          <w:szCs w:val="28"/>
        </w:rPr>
        <w:t>https://uchallenge.unipus.cn/c/2021-05-14/503076.shtml)</w:t>
      </w:r>
      <w:r>
        <w:rPr>
          <w:rFonts w:hint="eastAsia" w:ascii="仿宋" w:hAnsi="仿宋" w:eastAsia="仿宋" w:cs="Calibri"/>
          <w:bCs/>
          <w:sz w:val="28"/>
          <w:szCs w:val="28"/>
        </w:rPr>
        <w:t>公布的定题演讲题目《</w:t>
      </w:r>
      <w:r>
        <w:rPr>
          <w:rFonts w:hint="eastAsia" w:ascii="仿宋" w:hAnsi="仿宋" w:eastAsia="仿宋" w:cs="仿宋"/>
          <w:bCs/>
          <w:sz w:val="28"/>
          <w:szCs w:val="28"/>
          <w:lang w:val="en-US" w:eastAsia="zh-CN"/>
        </w:rPr>
        <w:t>China’s Wisdom for the World</w:t>
      </w:r>
      <w:r>
        <w:rPr>
          <w:rFonts w:hint="eastAsia" w:ascii="仿宋" w:hAnsi="仿宋" w:eastAsia="仿宋" w:cs="Calibri"/>
          <w:bCs/>
          <w:sz w:val="28"/>
          <w:szCs w:val="28"/>
        </w:rPr>
        <w:t>》进行3分钟英语</w:t>
      </w:r>
      <w:r>
        <w:rPr>
          <w:rFonts w:hint="eastAsia" w:ascii="仿宋" w:hAnsi="仿宋" w:eastAsia="仿宋" w:cs="Calibri"/>
          <w:bCs/>
          <w:sz w:val="28"/>
          <w:szCs w:val="28"/>
          <w:lang w:val="en-US" w:eastAsia="zh-CN"/>
        </w:rPr>
        <w:t>演讲（脱稿）。</w:t>
      </w:r>
    </w:p>
    <w:p>
      <w:pPr>
        <w:snapToGrid w:val="0"/>
        <w:spacing w:line="360" w:lineRule="auto"/>
        <w:ind w:firstLine="560" w:firstLineChars="200"/>
        <w:rPr>
          <w:rFonts w:hint="eastAsia" w:ascii="仿宋" w:hAnsi="仿宋" w:eastAsia="仿宋" w:cs="Calibri"/>
          <w:bCs/>
          <w:sz w:val="28"/>
          <w:szCs w:val="28"/>
          <w:lang w:val="en-US" w:eastAsia="zh-CN"/>
        </w:rPr>
      </w:pPr>
      <w:r>
        <w:rPr>
          <w:rFonts w:hint="eastAsia" w:ascii="仿宋" w:hAnsi="仿宋" w:eastAsia="仿宋" w:cs="Calibri"/>
          <w:bCs/>
          <w:sz w:val="28"/>
          <w:szCs w:val="28"/>
          <w:lang w:val="en-US" w:eastAsia="zh-CN"/>
        </w:rPr>
        <w:t>2、回答问题</w:t>
      </w:r>
    </w:p>
    <w:p>
      <w:pPr>
        <w:snapToGrid w:val="0"/>
        <w:spacing w:line="360" w:lineRule="auto"/>
        <w:ind w:firstLine="560" w:firstLineChars="200"/>
        <w:rPr>
          <w:rFonts w:hint="eastAsia" w:ascii="仿宋" w:hAnsi="仿宋" w:eastAsia="仿宋" w:cs="Calibri"/>
          <w:bCs/>
          <w:sz w:val="28"/>
          <w:szCs w:val="28"/>
          <w:lang w:val="en-US" w:eastAsia="zh-CN"/>
        </w:rPr>
      </w:pPr>
      <w:r>
        <w:rPr>
          <w:rFonts w:hint="eastAsia" w:ascii="仿宋" w:hAnsi="仿宋" w:eastAsia="仿宋" w:cs="Calibri"/>
          <w:bCs/>
          <w:sz w:val="28"/>
          <w:szCs w:val="28"/>
          <w:lang w:val="en-US" w:eastAsia="zh-CN"/>
        </w:rPr>
        <w:t>由提问评委就选手的即兴演讲内容提出1个问题，选手回答时间为1分钟。</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六、竞赛评委选聘</w:t>
      </w:r>
    </w:p>
    <w:p>
      <w:pPr>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此次比赛共设评委</w:t>
      </w:r>
      <w:r>
        <w:rPr>
          <w:rFonts w:ascii="仿宋" w:hAnsi="仿宋" w:eastAsia="仿宋" w:cs="Calibri"/>
          <w:bCs/>
          <w:sz w:val="28"/>
          <w:szCs w:val="28"/>
        </w:rPr>
        <w:t>5</w:t>
      </w:r>
      <w:r>
        <w:rPr>
          <w:rFonts w:hint="eastAsia" w:ascii="仿宋" w:hAnsi="仿宋" w:eastAsia="仿宋" w:cs="Calibri"/>
          <w:bCs/>
          <w:sz w:val="28"/>
          <w:szCs w:val="28"/>
        </w:rPr>
        <w:t>人，由教育系外语教研室选派专业教师担任。</w:t>
      </w:r>
    </w:p>
    <w:p>
      <w:pPr>
        <w:pStyle w:val="16"/>
        <w:numPr>
          <w:ilvl w:val="0"/>
          <w:numId w:val="1"/>
        </w:numPr>
        <w:snapToGrid w:val="0"/>
        <w:spacing w:line="360" w:lineRule="auto"/>
        <w:ind w:left="643" w:firstLine="0" w:firstLineChars="0"/>
        <w:rPr>
          <w:rFonts w:ascii="宋体" w:hAnsi="宋体" w:eastAsia="宋体"/>
          <w:sz w:val="24"/>
          <w:szCs w:val="24"/>
        </w:rPr>
      </w:pPr>
      <w:r>
        <w:rPr>
          <w:rFonts w:hint="eastAsia" w:ascii="仿宋" w:hAnsi="仿宋" w:eastAsia="仿宋" w:cs="Calibri"/>
          <w:b/>
          <w:bCs w:val="0"/>
          <w:sz w:val="28"/>
          <w:szCs w:val="28"/>
        </w:rPr>
        <w:t>竞赛评分办法</w:t>
      </w:r>
    </w:p>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前5位选手的成绩在第5位选手演讲结束后，经评委商议后统一公布；之后每位选手演讲结来后，公布前一名选手的比赛成绩。</w:t>
      </w:r>
    </w:p>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lang w:val="en-US" w:eastAsia="zh-CN"/>
        </w:rPr>
        <w:t>1、</w:t>
      </w:r>
      <w:r>
        <w:rPr>
          <w:rFonts w:hint="eastAsia" w:ascii="仿宋" w:hAnsi="仿宋" w:eastAsia="仿宋" w:cs="Calibri"/>
          <w:bCs/>
          <w:sz w:val="28"/>
          <w:szCs w:val="28"/>
        </w:rPr>
        <w:t>评分标准（百分制）</w:t>
      </w:r>
    </w:p>
    <w:tbl>
      <w:tblPr>
        <w:tblStyle w:val="1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749"/>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23" w:type="dxa"/>
            <w:gridSpan w:val="2"/>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Prepared Speech (70%)</w:t>
            </w:r>
          </w:p>
        </w:tc>
        <w:tc>
          <w:tcPr>
            <w:tcW w:w="4536" w:type="dxa"/>
            <w:gridSpan w:val="2"/>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Response to Questions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Content</w:t>
            </w:r>
          </w:p>
        </w:tc>
        <w:tc>
          <w:tcPr>
            <w:tcW w:w="1749"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30%</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Content</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Language</w:t>
            </w:r>
          </w:p>
        </w:tc>
        <w:tc>
          <w:tcPr>
            <w:tcW w:w="1749"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20%</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Language</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Delivery</w:t>
            </w:r>
          </w:p>
        </w:tc>
        <w:tc>
          <w:tcPr>
            <w:tcW w:w="1749"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20%</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Delivery</w:t>
            </w:r>
          </w:p>
        </w:tc>
        <w:tc>
          <w:tcPr>
            <w:tcW w:w="2268" w:type="dxa"/>
          </w:tcPr>
          <w:p>
            <w:pPr>
              <w:snapToGrid w:val="0"/>
              <w:spacing w:line="360" w:lineRule="auto"/>
              <w:ind w:firstLine="560" w:firstLineChars="200"/>
              <w:rPr>
                <w:rFonts w:hint="eastAsia" w:ascii="仿宋" w:hAnsi="仿宋" w:eastAsia="仿宋" w:cs="Calibri"/>
                <w:bCs/>
                <w:sz w:val="28"/>
                <w:szCs w:val="28"/>
              </w:rPr>
            </w:pPr>
            <w:r>
              <w:rPr>
                <w:rFonts w:hint="eastAsia" w:ascii="仿宋" w:hAnsi="仿宋" w:eastAsia="仿宋" w:cs="Calibri"/>
                <w:bCs/>
                <w:sz w:val="28"/>
                <w:szCs w:val="28"/>
              </w:rPr>
              <w:t>10%</w:t>
            </w:r>
          </w:p>
        </w:tc>
      </w:tr>
    </w:tbl>
    <w:p>
      <w:pPr>
        <w:pStyle w:val="16"/>
        <w:numPr>
          <w:ilvl w:val="0"/>
          <w:numId w:val="0"/>
        </w:numPr>
        <w:snapToGrid w:val="0"/>
        <w:spacing w:line="360" w:lineRule="auto"/>
        <w:ind w:left="643" w:leftChars="0"/>
        <w:rPr>
          <w:rFonts w:hint="eastAsia" w:ascii="仿宋" w:hAnsi="仿宋" w:eastAsia="仿宋" w:cs="Calibri"/>
          <w:b/>
          <w:sz w:val="28"/>
          <w:szCs w:val="28"/>
        </w:rPr>
      </w:pP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2、</w:t>
      </w:r>
      <w:r>
        <w:rPr>
          <w:rFonts w:hint="eastAsia" w:ascii="仿宋" w:hAnsi="仿宋" w:eastAsia="仿宋" w:cs="Calibri"/>
          <w:bCs/>
          <w:sz w:val="28"/>
          <w:szCs w:val="28"/>
        </w:rPr>
        <w:t>计分方法</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选手最后得分是：去掉一个最高分、去掉一个最低分再计算出平均分（保留两位小数）。</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w:t>
      </w:r>
      <w:r>
        <w:rPr>
          <w:rFonts w:hint="eastAsia" w:ascii="仿宋" w:hAnsi="仿宋" w:eastAsia="仿宋" w:cs="Calibri"/>
          <w:bCs/>
          <w:sz w:val="28"/>
          <w:szCs w:val="28"/>
        </w:rPr>
        <w:t>评分标准</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本赛项为裁判现场给分。根据不同比赛内容，从“内容、条理、语言、举止、协作、表现力”等多方面进行评定。</w:t>
      </w:r>
    </w:p>
    <w:p>
      <w:pPr>
        <w:widowControl/>
        <w:spacing w:line="360" w:lineRule="auto"/>
        <w:ind w:firstLine="560" w:firstLineChars="200"/>
        <w:rPr>
          <w:rFonts w:hint="default" w:ascii="仿宋" w:hAnsi="仿宋" w:eastAsia="仿宋" w:cs="Calibri"/>
          <w:bCs/>
          <w:sz w:val="28"/>
          <w:szCs w:val="28"/>
          <w:lang w:val="en-US" w:eastAsia="zh-CN"/>
        </w:rPr>
      </w:pPr>
      <w:r>
        <w:rPr>
          <w:rFonts w:hint="eastAsia" w:ascii="仿宋" w:hAnsi="仿宋" w:eastAsia="仿宋" w:cs="Calibri"/>
          <w:bCs/>
          <w:sz w:val="28"/>
          <w:szCs w:val="28"/>
        </w:rPr>
        <w:t>（</w:t>
      </w:r>
      <w:r>
        <w:rPr>
          <w:rFonts w:ascii="仿宋" w:hAnsi="仿宋" w:eastAsia="仿宋" w:cs="Calibri"/>
          <w:bCs/>
          <w:sz w:val="28"/>
          <w:szCs w:val="28"/>
        </w:rPr>
        <w:t>1</w:t>
      </w:r>
      <w:r>
        <w:rPr>
          <w:rFonts w:hint="eastAsia" w:ascii="仿宋" w:hAnsi="仿宋" w:eastAsia="仿宋" w:cs="Calibri"/>
          <w:bCs/>
          <w:sz w:val="28"/>
          <w:szCs w:val="28"/>
        </w:rPr>
        <w:t>）</w:t>
      </w:r>
      <w:r>
        <w:rPr>
          <w:rFonts w:hint="eastAsia" w:ascii="仿宋" w:hAnsi="仿宋" w:eastAsia="仿宋" w:cs="Calibri"/>
          <w:bCs/>
          <w:sz w:val="28"/>
          <w:szCs w:val="28"/>
          <w:lang w:val="en-US" w:eastAsia="zh-CN"/>
        </w:rPr>
        <w:t>定题演讲</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66</w:t>
      </w:r>
      <w:r>
        <w:rPr>
          <w:rFonts w:ascii="仿宋" w:hAnsi="仿宋" w:eastAsia="仿宋" w:cs="Calibri"/>
          <w:bCs/>
          <w:sz w:val="28"/>
          <w:szCs w:val="28"/>
        </w:rPr>
        <w:t>—</w:t>
      </w:r>
      <w:r>
        <w:rPr>
          <w:rFonts w:hint="eastAsia" w:ascii="仿宋" w:hAnsi="仿宋" w:eastAsia="仿宋" w:cs="Calibri"/>
          <w:bCs/>
          <w:sz w:val="28"/>
          <w:szCs w:val="28"/>
          <w:lang w:val="en-US" w:eastAsia="zh-CN"/>
        </w:rPr>
        <w:t>7</w:t>
      </w:r>
      <w:r>
        <w:rPr>
          <w:rFonts w:ascii="仿宋" w:hAnsi="仿宋" w:eastAsia="仿宋" w:cs="Calibri"/>
          <w:bCs/>
          <w:sz w:val="28"/>
          <w:szCs w:val="28"/>
        </w:rPr>
        <w:t>0</w:t>
      </w:r>
      <w:r>
        <w:rPr>
          <w:rFonts w:hint="eastAsia" w:ascii="仿宋" w:hAnsi="仿宋" w:eastAsia="仿宋" w:cs="Calibri"/>
          <w:bCs/>
          <w:sz w:val="28"/>
          <w:szCs w:val="28"/>
        </w:rPr>
        <w:t>分：内容完整、充实，能就主题进行充分发挥；逻辑性强，条理清晰，表达流畅；语言丰富，使用准确；举止大方、得体。</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61</w:t>
      </w:r>
      <w:r>
        <w:rPr>
          <w:rFonts w:ascii="仿宋" w:hAnsi="仿宋" w:eastAsia="仿宋" w:cs="Calibri"/>
          <w:bCs/>
          <w:sz w:val="28"/>
          <w:szCs w:val="28"/>
        </w:rPr>
        <w:t>—</w:t>
      </w:r>
      <w:r>
        <w:rPr>
          <w:rFonts w:hint="eastAsia" w:ascii="仿宋" w:hAnsi="仿宋" w:eastAsia="仿宋" w:cs="Calibri"/>
          <w:bCs/>
          <w:sz w:val="28"/>
          <w:szCs w:val="28"/>
          <w:lang w:val="en-US" w:eastAsia="zh-CN"/>
        </w:rPr>
        <w:t>6</w:t>
      </w:r>
      <w:r>
        <w:rPr>
          <w:rFonts w:ascii="仿宋" w:hAnsi="仿宋" w:eastAsia="仿宋" w:cs="Calibri"/>
          <w:bCs/>
          <w:sz w:val="28"/>
          <w:szCs w:val="28"/>
        </w:rPr>
        <w:t>5</w:t>
      </w:r>
      <w:r>
        <w:rPr>
          <w:rFonts w:hint="eastAsia" w:ascii="仿宋" w:hAnsi="仿宋" w:eastAsia="仿宋" w:cs="Calibri"/>
          <w:bCs/>
          <w:sz w:val="28"/>
          <w:szCs w:val="28"/>
        </w:rPr>
        <w:t>分：内容完整、充实，能就主题进行一定的发挥；逻辑性较强，条理清晰，表达比较流畅；语言较丰富，使用正确；举止得体。</w:t>
      </w:r>
    </w:p>
    <w:p>
      <w:pPr>
        <w:widowControl/>
        <w:spacing w:line="360" w:lineRule="auto"/>
        <w:ind w:firstLine="560" w:firstLineChars="200"/>
        <w:rPr>
          <w:rFonts w:hint="eastAsia" w:ascii="仿宋" w:hAnsi="仿宋" w:eastAsia="仿宋" w:cs="Calibri"/>
          <w:bCs/>
          <w:sz w:val="28"/>
          <w:szCs w:val="28"/>
          <w:lang w:eastAsia="zh-CN"/>
        </w:rPr>
      </w:pPr>
      <w:r>
        <w:rPr>
          <w:rFonts w:hint="eastAsia" w:ascii="仿宋" w:hAnsi="仿宋" w:eastAsia="仿宋" w:cs="Calibri"/>
          <w:bCs/>
          <w:sz w:val="28"/>
          <w:szCs w:val="28"/>
          <w:lang w:val="en-US" w:eastAsia="zh-CN"/>
        </w:rPr>
        <w:t>56</w:t>
      </w:r>
      <w:r>
        <w:rPr>
          <w:rFonts w:ascii="仿宋" w:hAnsi="仿宋" w:eastAsia="仿宋" w:cs="Calibri"/>
          <w:bCs/>
          <w:sz w:val="28"/>
          <w:szCs w:val="28"/>
        </w:rPr>
        <w:t>—</w:t>
      </w:r>
      <w:r>
        <w:rPr>
          <w:rFonts w:hint="eastAsia" w:ascii="仿宋" w:hAnsi="仿宋" w:eastAsia="仿宋" w:cs="Calibri"/>
          <w:bCs/>
          <w:sz w:val="28"/>
          <w:szCs w:val="28"/>
          <w:lang w:val="en-US" w:eastAsia="zh-CN"/>
        </w:rPr>
        <w:t>6</w:t>
      </w:r>
      <w:r>
        <w:rPr>
          <w:rFonts w:ascii="仿宋" w:hAnsi="仿宋" w:eastAsia="仿宋" w:cs="Calibri"/>
          <w:bCs/>
          <w:sz w:val="28"/>
          <w:szCs w:val="28"/>
        </w:rPr>
        <w:t>0</w:t>
      </w:r>
      <w:r>
        <w:rPr>
          <w:rFonts w:hint="eastAsia" w:ascii="仿宋" w:hAnsi="仿宋" w:eastAsia="仿宋" w:cs="Calibri"/>
          <w:bCs/>
          <w:sz w:val="28"/>
          <w:szCs w:val="28"/>
        </w:rPr>
        <w:t>分：内容完整；逻辑性较强，条理比较清晰，表达基本流畅；使用语言基本正确；举止较为得体</w:t>
      </w:r>
      <w:r>
        <w:rPr>
          <w:rFonts w:hint="eastAsia" w:ascii="仿宋" w:hAnsi="仿宋" w:eastAsia="仿宋" w:cs="Calibri"/>
          <w:bCs/>
          <w:sz w:val="28"/>
          <w:szCs w:val="28"/>
          <w:lang w:eastAsia="zh-CN"/>
        </w:rPr>
        <w:t>。</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51</w:t>
      </w:r>
      <w:r>
        <w:rPr>
          <w:rFonts w:ascii="仿宋" w:hAnsi="仿宋" w:eastAsia="仿宋" w:cs="Calibri"/>
          <w:bCs/>
          <w:sz w:val="28"/>
          <w:szCs w:val="28"/>
        </w:rPr>
        <w:t>—</w:t>
      </w:r>
      <w:r>
        <w:rPr>
          <w:rFonts w:hint="eastAsia" w:ascii="仿宋" w:hAnsi="仿宋" w:eastAsia="仿宋" w:cs="Calibri"/>
          <w:bCs/>
          <w:sz w:val="28"/>
          <w:szCs w:val="28"/>
          <w:lang w:val="en-US" w:eastAsia="zh-CN"/>
        </w:rPr>
        <w:t>55</w:t>
      </w:r>
      <w:r>
        <w:rPr>
          <w:rFonts w:hint="eastAsia" w:ascii="仿宋" w:hAnsi="仿宋" w:eastAsia="仿宋" w:cs="Calibri"/>
          <w:bCs/>
          <w:sz w:val="28"/>
          <w:szCs w:val="28"/>
        </w:rPr>
        <w:t>分：内</w:t>
      </w:r>
      <w:r>
        <w:rPr>
          <w:rFonts w:hint="eastAsia" w:ascii="仿宋" w:hAnsi="仿宋" w:eastAsia="仿宋" w:cs="Calibri"/>
          <w:bCs/>
          <w:sz w:val="28"/>
          <w:szCs w:val="28"/>
          <w:lang w:val="en-US" w:eastAsia="zh-CN"/>
        </w:rPr>
        <w:t>容基本完</w:t>
      </w:r>
      <w:r>
        <w:rPr>
          <w:rFonts w:hint="eastAsia" w:ascii="仿宋" w:hAnsi="仿宋" w:eastAsia="仿宋" w:cs="Calibri"/>
          <w:bCs/>
          <w:sz w:val="28"/>
          <w:szCs w:val="28"/>
        </w:rPr>
        <w:t>整；发音不够标准，断句错误，表达不够流畅；举止不够得体。</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45</w:t>
      </w:r>
      <w:r>
        <w:rPr>
          <w:rFonts w:ascii="仿宋" w:hAnsi="仿宋" w:eastAsia="仿宋" w:cs="Calibri"/>
          <w:bCs/>
          <w:sz w:val="28"/>
          <w:szCs w:val="28"/>
        </w:rPr>
        <w:t>—</w:t>
      </w:r>
      <w:r>
        <w:rPr>
          <w:rFonts w:hint="eastAsia" w:ascii="仿宋" w:hAnsi="仿宋" w:eastAsia="仿宋" w:cs="Calibri"/>
          <w:bCs/>
          <w:sz w:val="28"/>
          <w:szCs w:val="28"/>
          <w:lang w:val="en-US" w:eastAsia="zh-CN"/>
        </w:rPr>
        <w:t>50</w:t>
      </w:r>
      <w:r>
        <w:rPr>
          <w:rFonts w:hint="eastAsia" w:ascii="仿宋" w:hAnsi="仿宋" w:eastAsia="仿宋" w:cs="Calibri"/>
          <w:bCs/>
          <w:sz w:val="28"/>
          <w:szCs w:val="28"/>
        </w:rPr>
        <w:t>分：容</w:t>
      </w:r>
      <w:r>
        <w:rPr>
          <w:rFonts w:hint="eastAsia" w:ascii="仿宋" w:hAnsi="仿宋" w:eastAsia="仿宋" w:cs="Calibri"/>
          <w:bCs/>
          <w:sz w:val="28"/>
          <w:szCs w:val="28"/>
          <w:lang w:val="en-US" w:eastAsia="zh-CN"/>
        </w:rPr>
        <w:t>不够</w:t>
      </w:r>
      <w:r>
        <w:rPr>
          <w:rFonts w:hint="eastAsia" w:ascii="仿宋" w:hAnsi="仿宋" w:eastAsia="仿宋" w:cs="Calibri"/>
          <w:bCs/>
          <w:sz w:val="28"/>
          <w:szCs w:val="28"/>
        </w:rPr>
        <w:t>完整；表达尚连贯；使用语言尚正确；举止欠佳。</w:t>
      </w:r>
    </w:p>
    <w:p>
      <w:pPr>
        <w:widowControl/>
        <w:spacing w:line="360" w:lineRule="auto"/>
        <w:ind w:firstLine="560" w:firstLineChars="200"/>
        <w:rPr>
          <w:rFonts w:hint="default" w:ascii="仿宋" w:hAnsi="仿宋" w:eastAsia="仿宋" w:cs="Calibri"/>
          <w:bCs/>
          <w:sz w:val="28"/>
          <w:szCs w:val="28"/>
          <w:lang w:val="en-US" w:eastAsia="zh-CN"/>
        </w:rPr>
      </w:pPr>
      <w:r>
        <w:rPr>
          <w:rFonts w:hint="eastAsia" w:ascii="仿宋" w:hAnsi="仿宋" w:eastAsia="仿宋" w:cs="Calibri"/>
          <w:bCs/>
          <w:sz w:val="28"/>
          <w:szCs w:val="28"/>
        </w:rPr>
        <w:t>（</w:t>
      </w:r>
      <w:r>
        <w:rPr>
          <w:rFonts w:ascii="仿宋" w:hAnsi="仿宋" w:eastAsia="仿宋" w:cs="Calibri"/>
          <w:bCs/>
          <w:sz w:val="28"/>
          <w:szCs w:val="28"/>
        </w:rPr>
        <w:t>2</w:t>
      </w:r>
      <w:r>
        <w:rPr>
          <w:rFonts w:hint="eastAsia" w:ascii="仿宋" w:hAnsi="仿宋" w:eastAsia="仿宋" w:cs="Calibri"/>
          <w:bCs/>
          <w:sz w:val="28"/>
          <w:szCs w:val="28"/>
        </w:rPr>
        <w:t>）</w:t>
      </w:r>
      <w:r>
        <w:rPr>
          <w:rFonts w:hint="eastAsia" w:ascii="仿宋" w:hAnsi="仿宋" w:eastAsia="仿宋" w:cs="Calibri"/>
          <w:bCs/>
          <w:sz w:val="28"/>
          <w:szCs w:val="28"/>
          <w:lang w:val="en-US" w:eastAsia="zh-CN"/>
        </w:rPr>
        <w:t>回答问题</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26</w:t>
      </w:r>
      <w:r>
        <w:rPr>
          <w:rFonts w:ascii="仿宋" w:hAnsi="仿宋" w:eastAsia="仿宋" w:cs="Calibri"/>
          <w:bCs/>
          <w:sz w:val="28"/>
          <w:szCs w:val="28"/>
        </w:rPr>
        <w:t>—</w:t>
      </w:r>
      <w:r>
        <w:rPr>
          <w:rFonts w:hint="eastAsia" w:ascii="仿宋" w:hAnsi="仿宋" w:eastAsia="仿宋" w:cs="Calibri"/>
          <w:bCs/>
          <w:sz w:val="28"/>
          <w:szCs w:val="28"/>
          <w:lang w:val="en-US" w:eastAsia="zh-CN"/>
        </w:rPr>
        <w:t>30</w:t>
      </w:r>
      <w:r>
        <w:rPr>
          <w:rFonts w:hint="eastAsia" w:ascii="仿宋" w:hAnsi="仿宋" w:eastAsia="仿宋" w:cs="Calibri"/>
          <w:bCs/>
          <w:sz w:val="28"/>
          <w:szCs w:val="28"/>
        </w:rPr>
        <w:t>分：内容完整；口齿清晰，发音标准，地道纯正，断句准确，表达流畅，富有感染力；举止大方、得体。</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21</w:t>
      </w:r>
      <w:r>
        <w:rPr>
          <w:rFonts w:ascii="仿宋" w:hAnsi="仿宋" w:eastAsia="仿宋" w:cs="Calibri"/>
          <w:bCs/>
          <w:sz w:val="28"/>
          <w:szCs w:val="28"/>
        </w:rPr>
        <w:t>—</w:t>
      </w:r>
      <w:r>
        <w:rPr>
          <w:rFonts w:hint="eastAsia" w:ascii="仿宋" w:hAnsi="仿宋" w:eastAsia="仿宋" w:cs="Calibri"/>
          <w:bCs/>
          <w:sz w:val="28"/>
          <w:szCs w:val="28"/>
          <w:lang w:val="en-US" w:eastAsia="zh-CN"/>
        </w:rPr>
        <w:t>2</w:t>
      </w:r>
      <w:r>
        <w:rPr>
          <w:rFonts w:ascii="仿宋" w:hAnsi="仿宋" w:eastAsia="仿宋" w:cs="Calibri"/>
          <w:bCs/>
          <w:sz w:val="28"/>
          <w:szCs w:val="28"/>
        </w:rPr>
        <w:t>5</w:t>
      </w:r>
      <w:r>
        <w:rPr>
          <w:rFonts w:hint="eastAsia" w:ascii="仿宋" w:hAnsi="仿宋" w:eastAsia="仿宋" w:cs="Calibri"/>
          <w:bCs/>
          <w:sz w:val="28"/>
          <w:szCs w:val="28"/>
        </w:rPr>
        <w:t>分（含）：内容完整；口齿清晰，发音标准，比较地道，断句准确，表达流畅，没有感染力；举止大方、得体。</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lang w:val="en-US" w:eastAsia="zh-CN"/>
        </w:rPr>
        <w:t>15</w:t>
      </w:r>
      <w:r>
        <w:rPr>
          <w:rFonts w:ascii="仿宋" w:hAnsi="仿宋" w:eastAsia="仿宋" w:cs="Calibri"/>
          <w:bCs/>
          <w:sz w:val="28"/>
          <w:szCs w:val="28"/>
        </w:rPr>
        <w:t>—</w:t>
      </w:r>
      <w:r>
        <w:rPr>
          <w:rFonts w:hint="eastAsia" w:ascii="仿宋" w:hAnsi="仿宋" w:eastAsia="仿宋" w:cs="Calibri"/>
          <w:bCs/>
          <w:sz w:val="28"/>
          <w:szCs w:val="28"/>
          <w:lang w:val="en-US" w:eastAsia="zh-CN"/>
        </w:rPr>
        <w:t>20</w:t>
      </w:r>
      <w:r>
        <w:rPr>
          <w:rFonts w:hint="eastAsia" w:ascii="仿宋" w:hAnsi="仿宋" w:eastAsia="仿宋" w:cs="Calibri"/>
          <w:bCs/>
          <w:sz w:val="28"/>
          <w:szCs w:val="28"/>
        </w:rPr>
        <w:t>分（含）：内容完整；逻辑性较强，条理比较清晰，表达基本流畅；使用语言基本正确；举止较为得体。</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八、奖励</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比赛设公共英语组和专业英语组奖项。参赛人数在</w:t>
      </w:r>
      <w:r>
        <w:rPr>
          <w:rFonts w:ascii="仿宋" w:hAnsi="仿宋" w:eastAsia="仿宋" w:cs="Calibri"/>
          <w:bCs/>
          <w:sz w:val="28"/>
          <w:szCs w:val="28"/>
        </w:rPr>
        <w:t>6-10(</w:t>
      </w:r>
      <w:r>
        <w:rPr>
          <w:rFonts w:hint="eastAsia" w:ascii="仿宋" w:hAnsi="仿宋" w:eastAsia="仿宋" w:cs="Calibri"/>
          <w:bCs/>
          <w:sz w:val="28"/>
          <w:szCs w:val="28"/>
        </w:rPr>
        <w:t>含</w:t>
      </w:r>
      <w:r>
        <w:rPr>
          <w:rFonts w:ascii="仿宋" w:hAnsi="仿宋" w:eastAsia="仿宋" w:cs="Calibri"/>
          <w:bCs/>
          <w:sz w:val="28"/>
          <w:szCs w:val="28"/>
        </w:rPr>
        <w:t>10</w:t>
      </w:r>
      <w:r>
        <w:rPr>
          <w:rFonts w:hint="eastAsia" w:ascii="仿宋" w:hAnsi="仿宋" w:eastAsia="仿宋" w:cs="Calibri"/>
          <w:bCs/>
          <w:sz w:val="28"/>
          <w:szCs w:val="28"/>
        </w:rPr>
        <w:t>人</w:t>
      </w:r>
      <w:r>
        <w:rPr>
          <w:rFonts w:ascii="仿宋" w:hAnsi="仿宋" w:eastAsia="仿宋" w:cs="Calibri"/>
          <w:bCs/>
          <w:sz w:val="28"/>
          <w:szCs w:val="28"/>
        </w:rPr>
        <w:t>)</w:t>
      </w:r>
      <w:r>
        <w:rPr>
          <w:rFonts w:hint="eastAsia" w:ascii="仿宋" w:hAnsi="仿宋" w:eastAsia="仿宋" w:cs="Calibri"/>
          <w:bCs/>
          <w:sz w:val="28"/>
          <w:szCs w:val="28"/>
        </w:rPr>
        <w:t>人</w:t>
      </w:r>
      <w:r>
        <w:rPr>
          <w:rFonts w:ascii="仿宋" w:hAnsi="仿宋" w:eastAsia="仿宋" w:cs="Calibri"/>
          <w:bCs/>
          <w:sz w:val="28"/>
          <w:szCs w:val="28"/>
        </w:rPr>
        <w:t>,</w:t>
      </w:r>
      <w:r>
        <w:rPr>
          <w:rFonts w:hint="eastAsia" w:ascii="仿宋" w:hAnsi="仿宋" w:eastAsia="仿宋" w:cs="Calibri"/>
          <w:bCs/>
          <w:sz w:val="28"/>
          <w:szCs w:val="28"/>
        </w:rPr>
        <w:t>设置一等奖</w:t>
      </w:r>
      <w:r>
        <w:rPr>
          <w:rFonts w:ascii="仿宋" w:hAnsi="仿宋" w:eastAsia="仿宋" w:cs="Calibri"/>
          <w:bCs/>
          <w:sz w:val="28"/>
          <w:szCs w:val="28"/>
        </w:rPr>
        <w:t>1</w:t>
      </w:r>
      <w:r>
        <w:rPr>
          <w:rFonts w:hint="eastAsia" w:ascii="仿宋" w:hAnsi="仿宋" w:eastAsia="仿宋" w:cs="Calibri"/>
          <w:bCs/>
          <w:sz w:val="28"/>
          <w:szCs w:val="28"/>
        </w:rPr>
        <w:t>名，二等奖</w:t>
      </w:r>
      <w:r>
        <w:rPr>
          <w:rFonts w:ascii="仿宋" w:hAnsi="仿宋" w:eastAsia="仿宋" w:cs="Calibri"/>
          <w:bCs/>
          <w:sz w:val="28"/>
          <w:szCs w:val="28"/>
        </w:rPr>
        <w:t>2</w:t>
      </w:r>
      <w:r>
        <w:rPr>
          <w:rFonts w:hint="eastAsia" w:ascii="仿宋" w:hAnsi="仿宋" w:eastAsia="仿宋" w:cs="Calibri"/>
          <w:bCs/>
          <w:sz w:val="28"/>
          <w:szCs w:val="28"/>
        </w:rPr>
        <w:t>名，三等奖</w:t>
      </w:r>
      <w:r>
        <w:rPr>
          <w:rFonts w:ascii="仿宋" w:hAnsi="仿宋" w:eastAsia="仿宋" w:cs="Calibri"/>
          <w:bCs/>
          <w:sz w:val="28"/>
          <w:szCs w:val="28"/>
        </w:rPr>
        <w:t>3</w:t>
      </w:r>
      <w:r>
        <w:rPr>
          <w:rFonts w:hint="eastAsia" w:ascii="仿宋" w:hAnsi="仿宋" w:eastAsia="仿宋" w:cs="Calibri"/>
          <w:bCs/>
          <w:sz w:val="28"/>
          <w:szCs w:val="28"/>
        </w:rPr>
        <w:t>名；参赛人数在</w:t>
      </w:r>
      <w:r>
        <w:rPr>
          <w:rFonts w:ascii="仿宋" w:hAnsi="仿宋" w:eastAsia="仿宋" w:cs="Calibri"/>
          <w:bCs/>
          <w:sz w:val="28"/>
          <w:szCs w:val="28"/>
        </w:rPr>
        <w:t>10</w:t>
      </w:r>
      <w:r>
        <w:rPr>
          <w:rFonts w:hint="eastAsia" w:ascii="仿宋" w:hAnsi="仿宋" w:eastAsia="仿宋" w:cs="Calibri"/>
          <w:bCs/>
          <w:sz w:val="28"/>
          <w:szCs w:val="28"/>
        </w:rPr>
        <w:t>人以上分别按一等奖</w:t>
      </w:r>
      <w:r>
        <w:rPr>
          <w:rFonts w:ascii="仿宋" w:hAnsi="仿宋" w:eastAsia="仿宋" w:cs="Calibri"/>
          <w:bCs/>
          <w:sz w:val="28"/>
          <w:szCs w:val="28"/>
        </w:rPr>
        <w:t>10%</w:t>
      </w:r>
      <w:r>
        <w:rPr>
          <w:rFonts w:hint="eastAsia" w:ascii="仿宋" w:hAnsi="仿宋" w:eastAsia="仿宋" w:cs="Calibri"/>
          <w:bCs/>
          <w:sz w:val="28"/>
          <w:szCs w:val="28"/>
        </w:rPr>
        <w:t>，二等奖</w:t>
      </w:r>
      <w:r>
        <w:rPr>
          <w:rFonts w:ascii="仿宋" w:hAnsi="仿宋" w:eastAsia="仿宋" w:cs="Calibri"/>
          <w:bCs/>
          <w:sz w:val="28"/>
          <w:szCs w:val="28"/>
        </w:rPr>
        <w:t>20%</w:t>
      </w:r>
      <w:r>
        <w:rPr>
          <w:rFonts w:hint="eastAsia" w:ascii="仿宋" w:hAnsi="仿宋" w:eastAsia="仿宋" w:cs="Calibri"/>
          <w:bCs/>
          <w:sz w:val="28"/>
          <w:szCs w:val="28"/>
        </w:rPr>
        <w:t>，三等奖</w:t>
      </w:r>
      <w:r>
        <w:rPr>
          <w:rFonts w:ascii="仿宋" w:hAnsi="仿宋" w:eastAsia="仿宋" w:cs="Calibri"/>
          <w:bCs/>
          <w:sz w:val="28"/>
          <w:szCs w:val="28"/>
        </w:rPr>
        <w:t>30%</w:t>
      </w:r>
      <w:r>
        <w:rPr>
          <w:rFonts w:hint="eastAsia" w:ascii="仿宋" w:hAnsi="仿宋" w:eastAsia="仿宋" w:cs="Calibri"/>
          <w:bCs/>
          <w:sz w:val="28"/>
          <w:szCs w:val="28"/>
        </w:rPr>
        <w:t>比例设置奖例。所有获奖学生学院颁发证书；获奖选手将优先选派参加省级、国级技能大赛。</w:t>
      </w:r>
    </w:p>
    <w:p>
      <w:pPr>
        <w:adjustRightInd w:val="0"/>
        <w:snapToGrid w:val="0"/>
        <w:spacing w:line="360" w:lineRule="auto"/>
        <w:ind w:firstLine="562" w:firstLineChars="200"/>
        <w:rPr>
          <w:rFonts w:ascii="仿宋" w:hAnsi="仿宋" w:eastAsia="仿宋" w:cs="Calibri"/>
          <w:b/>
          <w:bCs/>
          <w:sz w:val="28"/>
          <w:szCs w:val="28"/>
        </w:rPr>
      </w:pPr>
      <w:r>
        <w:rPr>
          <w:rFonts w:hint="eastAsia" w:ascii="仿宋" w:hAnsi="仿宋" w:eastAsia="仿宋" w:cs="Calibri"/>
          <w:b/>
          <w:bCs/>
          <w:sz w:val="28"/>
          <w:szCs w:val="28"/>
        </w:rPr>
        <w:t>九、预期成果</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（一）检验学生的适岗综合能力，促进人才培养质量的提升。</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比赛能检验师资培养质量，更大范围为在校生提供职业素养与实践技能训练、展示与交流平台，“以赛促学、以赛促教、以赛促改”，促进我院学生的英语语言能力成长、师资培养质量的提高。</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（二）增进教师间教学经验交流，促进专业课程教学改革。</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促进教师之间的交流、学习与合作，推动我校外语教师加强课程教学改革，不断提升对学生的培养水平。</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（三）为全省职业院校英语</w:t>
      </w:r>
      <w:r>
        <w:rPr>
          <w:rFonts w:hint="eastAsia" w:ascii="仿宋" w:hAnsi="仿宋" w:eastAsia="仿宋" w:cs="Calibri"/>
          <w:bCs/>
          <w:sz w:val="28"/>
          <w:szCs w:val="28"/>
          <w:lang w:val="en-US" w:eastAsia="zh-CN"/>
        </w:rPr>
        <w:t>演讲</w:t>
      </w:r>
      <w:r>
        <w:rPr>
          <w:rFonts w:hint="eastAsia" w:ascii="仿宋" w:hAnsi="仿宋" w:eastAsia="仿宋" w:cs="Calibri"/>
          <w:bCs/>
          <w:sz w:val="28"/>
          <w:szCs w:val="28"/>
        </w:rPr>
        <w:t>大赛选拔优秀人才。</w:t>
      </w:r>
    </w:p>
    <w:p>
      <w:pPr>
        <w:adjustRightInd w:val="0"/>
        <w:snapToGrid w:val="0"/>
        <w:spacing w:line="360" w:lineRule="auto"/>
        <w:ind w:firstLine="560" w:firstLineChars="200"/>
        <w:rPr>
          <w:rFonts w:ascii="仿宋" w:hAnsi="仿宋" w:eastAsia="仿宋" w:cs="Calibri"/>
          <w:bCs/>
          <w:sz w:val="28"/>
          <w:szCs w:val="28"/>
        </w:rPr>
      </w:pP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附件：</w:t>
      </w:r>
      <w:r>
        <w:rPr>
          <w:rFonts w:ascii="仿宋" w:hAnsi="仿宋" w:eastAsia="仿宋" w:cs="Calibri"/>
          <w:bCs/>
          <w:sz w:val="28"/>
          <w:szCs w:val="28"/>
        </w:rPr>
        <w:t>1</w:t>
      </w:r>
      <w:r>
        <w:rPr>
          <w:rFonts w:hint="eastAsia" w:ascii="仿宋" w:hAnsi="仿宋" w:eastAsia="仿宋" w:cs="Calibri"/>
          <w:bCs/>
          <w:sz w:val="28"/>
          <w:szCs w:val="28"/>
          <w:lang w:eastAsia="zh-CN"/>
        </w:rPr>
        <w:t>、“</w:t>
      </w:r>
      <w:r>
        <w:rPr>
          <w:rFonts w:hint="eastAsia" w:ascii="仿宋" w:hAnsi="仿宋" w:eastAsia="仿宋" w:cs="Calibri"/>
          <w:bCs/>
          <w:sz w:val="28"/>
          <w:szCs w:val="28"/>
        </w:rPr>
        <w:t>外研社杯”演讲大赛比赛评分表</w:t>
      </w:r>
    </w:p>
    <w:p>
      <w:pPr>
        <w:adjustRightInd w:val="0"/>
        <w:snapToGrid w:val="0"/>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 xml:space="preserve">      2</w:t>
      </w:r>
      <w:r>
        <w:rPr>
          <w:rFonts w:hint="eastAsia" w:ascii="仿宋" w:hAnsi="仿宋" w:eastAsia="仿宋" w:cs="Calibri"/>
          <w:bCs/>
          <w:sz w:val="28"/>
          <w:szCs w:val="28"/>
        </w:rPr>
        <w:t>、</w:t>
      </w:r>
      <w:r>
        <w:rPr>
          <w:rFonts w:hint="eastAsia" w:ascii="仿宋" w:hAnsi="仿宋" w:eastAsia="仿宋" w:cs="Calibri"/>
          <w:bCs/>
          <w:sz w:val="28"/>
          <w:szCs w:val="28"/>
          <w:lang w:eastAsia="zh-CN"/>
        </w:rPr>
        <w:t>“</w:t>
      </w:r>
      <w:r>
        <w:rPr>
          <w:rFonts w:hint="eastAsia" w:ascii="仿宋" w:hAnsi="仿宋" w:eastAsia="仿宋" w:cs="Calibri"/>
          <w:bCs/>
          <w:sz w:val="28"/>
          <w:szCs w:val="28"/>
        </w:rPr>
        <w:t>外研社杯”演讲大赛成绩汇总表</w:t>
      </w:r>
    </w:p>
    <w:p>
      <w:pPr>
        <w:snapToGrid w:val="0"/>
        <w:spacing w:line="360" w:lineRule="auto"/>
        <w:ind w:firstLine="200"/>
        <w:rPr>
          <w:rFonts w:ascii="宋体"/>
          <w:color w:val="000000"/>
          <w:sz w:val="24"/>
        </w:rPr>
      </w:pPr>
    </w:p>
    <w:p>
      <w:pPr>
        <w:widowControl/>
        <w:jc w:val="left"/>
        <w:rPr>
          <w:rFonts w:ascii="宋体"/>
          <w:color w:val="000000"/>
          <w:sz w:val="24"/>
        </w:rPr>
      </w:pPr>
    </w:p>
    <w:p>
      <w:pPr>
        <w:snapToGrid w:val="0"/>
        <w:spacing w:line="360" w:lineRule="auto"/>
        <w:ind w:firstLine="200"/>
        <w:rPr>
          <w:rFonts w:ascii="宋体"/>
          <w:color w:val="000000"/>
          <w:sz w:val="24"/>
        </w:rPr>
        <w:sectPr>
          <w:pgSz w:w="11906" w:h="16838"/>
          <w:pgMar w:top="1440" w:right="1800" w:bottom="1440" w:left="1800" w:header="851" w:footer="992" w:gutter="0"/>
          <w:cols w:space="425" w:num="1"/>
          <w:docGrid w:type="lines" w:linePitch="312" w:charSpace="0"/>
        </w:sectPr>
      </w:pPr>
    </w:p>
    <w:p>
      <w:pPr>
        <w:snapToGrid w:val="0"/>
        <w:spacing w:line="360" w:lineRule="auto"/>
        <w:ind w:firstLine="200"/>
        <w:rPr>
          <w:rFonts w:ascii="宋体"/>
          <w:color w:val="000000"/>
          <w:sz w:val="24"/>
        </w:rPr>
      </w:pPr>
      <w:r>
        <w:rPr>
          <w:rFonts w:hint="eastAsia" w:ascii="宋体" w:hAnsi="宋体"/>
          <w:color w:val="000000"/>
          <w:sz w:val="24"/>
        </w:rPr>
        <w:t>附件</w:t>
      </w:r>
      <w:r>
        <w:rPr>
          <w:rFonts w:ascii="宋体" w:hAnsi="宋体"/>
          <w:color w:val="000000"/>
          <w:sz w:val="24"/>
        </w:rPr>
        <w:t>1</w:t>
      </w:r>
      <w:r>
        <w:rPr>
          <w:rFonts w:hint="eastAsia" w:ascii="宋体" w:hAnsi="宋体"/>
          <w:color w:val="000000"/>
          <w:sz w:val="24"/>
        </w:rPr>
        <w:t>：</w:t>
      </w:r>
    </w:p>
    <w:tbl>
      <w:tblPr>
        <w:tblStyle w:val="9"/>
        <w:tblW w:w="13790" w:type="dxa"/>
        <w:tblInd w:w="108" w:type="dxa"/>
        <w:tblLayout w:type="fixed"/>
        <w:tblCellMar>
          <w:top w:w="0" w:type="dxa"/>
          <w:left w:w="108" w:type="dxa"/>
          <w:bottom w:w="0" w:type="dxa"/>
          <w:right w:w="108" w:type="dxa"/>
        </w:tblCellMar>
      </w:tblPr>
      <w:tblGrid>
        <w:gridCol w:w="1654"/>
        <w:gridCol w:w="10723"/>
        <w:gridCol w:w="903"/>
        <w:gridCol w:w="510"/>
      </w:tblGrid>
      <w:tr>
        <w:tblPrEx>
          <w:tblLayout w:type="fixed"/>
          <w:tblCellMar>
            <w:top w:w="0" w:type="dxa"/>
            <w:left w:w="108" w:type="dxa"/>
            <w:bottom w:w="0" w:type="dxa"/>
            <w:right w:w="108" w:type="dxa"/>
          </w:tblCellMar>
        </w:tblPrEx>
        <w:trPr>
          <w:trHeight w:val="720" w:hRule="atLeast"/>
        </w:trPr>
        <w:tc>
          <w:tcPr>
            <w:tcW w:w="13790" w:type="dxa"/>
            <w:gridSpan w:val="4"/>
            <w:tcBorders>
              <w:top w:val="nil"/>
              <w:left w:val="nil"/>
              <w:bottom w:val="single" w:color="auto" w:sz="4" w:space="0"/>
              <w:right w:val="nil"/>
            </w:tcBorders>
            <w:vAlign w:val="center"/>
          </w:tcPr>
          <w:p>
            <w:pPr>
              <w:widowControl/>
              <w:jc w:val="center"/>
              <w:rPr>
                <w:rFonts w:ascii="宋体" w:cs="宋体"/>
                <w:b/>
                <w:bCs/>
                <w:kern w:val="0"/>
                <w:sz w:val="36"/>
                <w:szCs w:val="36"/>
              </w:rPr>
            </w:pPr>
            <w:r>
              <w:rPr>
                <w:rFonts w:hint="eastAsia" w:ascii="宋体" w:hAnsi="宋体" w:cs="宋体"/>
                <w:b/>
                <w:bCs/>
                <w:kern w:val="0"/>
                <w:sz w:val="36"/>
                <w:szCs w:val="36"/>
                <w:lang w:eastAsia="zh-CN"/>
              </w:rPr>
              <w:t>“</w:t>
            </w:r>
            <w:r>
              <w:rPr>
                <w:rFonts w:hint="eastAsia" w:ascii="宋体" w:hAnsi="宋体" w:cs="宋体"/>
                <w:b/>
                <w:bCs/>
                <w:kern w:val="0"/>
                <w:sz w:val="36"/>
                <w:szCs w:val="36"/>
              </w:rPr>
              <w:t>外研社杯”演讲大赛评分表</w:t>
            </w:r>
          </w:p>
        </w:tc>
      </w:tr>
      <w:tr>
        <w:tblPrEx>
          <w:tblLayout w:type="fixed"/>
          <w:tblCellMar>
            <w:top w:w="0" w:type="dxa"/>
            <w:left w:w="108" w:type="dxa"/>
            <w:bottom w:w="0" w:type="dxa"/>
            <w:right w:w="108" w:type="dxa"/>
          </w:tblCellMar>
        </w:tblPrEx>
        <w:trPr>
          <w:trHeight w:val="702" w:hRule="atLeast"/>
        </w:trPr>
        <w:tc>
          <w:tcPr>
            <w:tcW w:w="1654"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面试编号</w:t>
            </w:r>
          </w:p>
        </w:tc>
        <w:tc>
          <w:tcPr>
            <w:tcW w:w="12136"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702" w:hRule="atLeast"/>
        </w:trPr>
        <w:tc>
          <w:tcPr>
            <w:tcW w:w="1654" w:type="dxa"/>
            <w:vMerge w:val="restart"/>
            <w:tcBorders>
              <w:top w:val="nil"/>
              <w:left w:val="single" w:color="auto" w:sz="4" w:space="0"/>
              <w:bottom w:val="single" w:color="000000" w:sz="4" w:space="0"/>
              <w:right w:val="single" w:color="auto" w:sz="4" w:space="0"/>
            </w:tcBorders>
            <w:vAlign w:val="center"/>
          </w:tcPr>
          <w:p>
            <w:pPr>
              <w:widowControl/>
              <w:jc w:val="center"/>
              <w:rPr>
                <w:rFonts w:hint="default" w:ascii="华文楷体" w:hAnsi="华文楷体" w:eastAsia="宋体" w:cs="宋体"/>
                <w:b/>
                <w:bCs/>
                <w:kern w:val="0"/>
                <w:sz w:val="32"/>
                <w:szCs w:val="32"/>
                <w:lang w:val="en-US" w:eastAsia="zh-CN"/>
              </w:rPr>
            </w:pPr>
            <w:r>
              <w:rPr>
                <w:rFonts w:hint="eastAsia" w:ascii="华文楷体" w:hAnsi="华文楷体" w:cs="宋体"/>
                <w:b/>
                <w:bCs/>
                <w:kern w:val="0"/>
                <w:sz w:val="32"/>
                <w:szCs w:val="32"/>
                <w:lang w:val="en-US" w:eastAsia="zh-CN"/>
              </w:rPr>
              <w:t>定题演讲</w:t>
            </w:r>
          </w:p>
        </w:tc>
        <w:tc>
          <w:tcPr>
            <w:tcW w:w="10723" w:type="dxa"/>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评</w:t>
            </w:r>
            <w:r>
              <w:rPr>
                <w:rFonts w:ascii="宋体" w:hAnsi="宋体" w:cs="宋体"/>
                <w:kern w:val="0"/>
                <w:sz w:val="22"/>
              </w:rPr>
              <w:t xml:space="preserve"> </w:t>
            </w:r>
            <w:r>
              <w:rPr>
                <w:rFonts w:hint="eastAsia" w:ascii="宋体" w:hAnsi="宋体" w:cs="宋体"/>
                <w:kern w:val="0"/>
                <w:sz w:val="22"/>
              </w:rPr>
              <w:t>分</w:t>
            </w:r>
            <w:r>
              <w:rPr>
                <w:rFonts w:ascii="宋体" w:hAnsi="宋体" w:cs="宋体"/>
                <w:kern w:val="0"/>
                <w:sz w:val="22"/>
              </w:rPr>
              <w:t xml:space="preserve"> </w:t>
            </w:r>
            <w:r>
              <w:rPr>
                <w:rFonts w:hint="eastAsia" w:ascii="宋体" w:hAnsi="宋体" w:cs="宋体"/>
                <w:kern w:val="0"/>
                <w:sz w:val="22"/>
              </w:rPr>
              <w:t>要</w:t>
            </w:r>
            <w:r>
              <w:rPr>
                <w:rFonts w:ascii="宋体" w:hAnsi="宋体" w:cs="宋体"/>
                <w:kern w:val="0"/>
                <w:sz w:val="22"/>
              </w:rPr>
              <w:t xml:space="preserve"> </w:t>
            </w:r>
            <w:r>
              <w:rPr>
                <w:rFonts w:hint="eastAsia" w:ascii="宋体" w:hAnsi="宋体" w:cs="宋体"/>
                <w:kern w:val="0"/>
                <w:sz w:val="22"/>
              </w:rPr>
              <w:t>素</w:t>
            </w:r>
          </w:p>
        </w:tc>
        <w:tc>
          <w:tcPr>
            <w:tcW w:w="90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评分标准</w:t>
            </w:r>
          </w:p>
        </w:tc>
        <w:tc>
          <w:tcPr>
            <w:tcW w:w="510" w:type="dxa"/>
            <w:tcBorders>
              <w:top w:val="nil"/>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得分</w:t>
            </w:r>
          </w:p>
        </w:tc>
      </w:tr>
      <w:tr>
        <w:tblPrEx>
          <w:tblLayout w:type="fixed"/>
          <w:tblCellMar>
            <w:top w:w="0" w:type="dxa"/>
            <w:left w:w="108" w:type="dxa"/>
            <w:bottom w:w="0" w:type="dxa"/>
            <w:right w:w="108" w:type="dxa"/>
          </w:tblCellMar>
        </w:tblPrEx>
        <w:trPr>
          <w:trHeight w:val="492"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nil"/>
              <w:left w:val="nil"/>
              <w:bottom w:val="single" w:color="auto" w:sz="4" w:space="0"/>
              <w:right w:val="single" w:color="auto" w:sz="4" w:space="0"/>
            </w:tcBorders>
            <w:vAlign w:val="center"/>
          </w:tcPr>
          <w:p>
            <w:pPr>
              <w:widowControl/>
              <w:jc w:val="left"/>
              <w:rPr>
                <w:rFonts w:ascii="华文中宋" w:hAnsi="华文中宋" w:cs="宋体"/>
                <w:b/>
                <w:bCs/>
                <w:kern w:val="0"/>
                <w:sz w:val="22"/>
              </w:rPr>
            </w:pPr>
            <w:r>
              <w:rPr>
                <w:rFonts w:hint="eastAsia" w:ascii="宋体" w:hAnsi="宋体" w:cs="宋体"/>
                <w:color w:val="000000"/>
                <w:kern w:val="0"/>
                <w:sz w:val="20"/>
                <w:szCs w:val="20"/>
              </w:rPr>
              <w:t>内容完整、充实，能就主题进行充分发挥；逻辑性强，条理清晰，表达流畅；语言丰富，使用准确；举止大方、得体</w:t>
            </w:r>
          </w:p>
        </w:tc>
        <w:tc>
          <w:tcPr>
            <w:tcW w:w="90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lang w:val="en-US" w:eastAsia="zh-CN"/>
              </w:rPr>
              <w:t>66</w:t>
            </w:r>
            <w:r>
              <w:rPr>
                <w:rFonts w:ascii="宋体" w:hAnsi="宋体" w:cs="宋体"/>
                <w:kern w:val="0"/>
                <w:sz w:val="24"/>
                <w:szCs w:val="24"/>
              </w:rPr>
              <w:t>-</w:t>
            </w:r>
            <w:r>
              <w:rPr>
                <w:rFonts w:hint="eastAsia" w:ascii="宋体" w:hAnsi="宋体" w:cs="宋体"/>
                <w:kern w:val="0"/>
                <w:sz w:val="24"/>
                <w:szCs w:val="24"/>
                <w:lang w:val="en-US" w:eastAsia="zh-CN"/>
              </w:rPr>
              <w:t>7</w:t>
            </w:r>
            <w:r>
              <w:rPr>
                <w:rFonts w:ascii="宋体" w:hAnsi="宋体" w:cs="宋体"/>
                <w:kern w:val="0"/>
                <w:sz w:val="24"/>
                <w:szCs w:val="24"/>
              </w:rPr>
              <w:t>0</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75"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nil"/>
              <w:left w:val="nil"/>
              <w:bottom w:val="single" w:color="auto" w:sz="4" w:space="0"/>
              <w:right w:val="single" w:color="auto" w:sz="4" w:space="0"/>
            </w:tcBorders>
            <w:vAlign w:val="center"/>
          </w:tcPr>
          <w:p>
            <w:pPr>
              <w:widowControl/>
              <w:jc w:val="left"/>
              <w:rPr>
                <w:rFonts w:ascii="华文中宋" w:hAnsi="华文中宋" w:cs="宋体"/>
                <w:b/>
                <w:bCs/>
                <w:kern w:val="0"/>
                <w:sz w:val="22"/>
              </w:rPr>
            </w:pPr>
            <w:r>
              <w:rPr>
                <w:rFonts w:hint="eastAsia" w:ascii="宋体" w:hAnsi="宋体" w:cs="宋体"/>
                <w:color w:val="000000"/>
                <w:kern w:val="0"/>
                <w:sz w:val="20"/>
                <w:szCs w:val="20"/>
              </w:rPr>
              <w:t>内容完整、充实，能就主题进行一定的发挥；逻辑性较强，条理清晰，表达比较流畅；语言较丰富，使用正确；举止得体</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61</w:t>
            </w:r>
            <w:r>
              <w:rPr>
                <w:rFonts w:ascii="宋体" w:hAnsi="宋体" w:cs="宋体"/>
                <w:kern w:val="0"/>
                <w:sz w:val="24"/>
                <w:szCs w:val="24"/>
              </w:rPr>
              <w:t>-</w:t>
            </w:r>
            <w:r>
              <w:rPr>
                <w:rFonts w:hint="eastAsia" w:ascii="宋体" w:hAnsi="宋体" w:cs="宋体"/>
                <w:kern w:val="0"/>
                <w:sz w:val="24"/>
                <w:szCs w:val="24"/>
                <w:lang w:val="en-US" w:eastAsia="zh-CN"/>
              </w:rPr>
              <w:t>65</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23"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内容完整；逻辑性较强，条理比较清晰，表达基本流畅；使用语言基本正确；举止较为得体</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56</w:t>
            </w:r>
            <w:r>
              <w:rPr>
                <w:rFonts w:ascii="宋体" w:hAnsi="宋体" w:cs="宋体"/>
                <w:kern w:val="0"/>
                <w:sz w:val="24"/>
                <w:szCs w:val="24"/>
              </w:rPr>
              <w:t>-</w:t>
            </w:r>
            <w:r>
              <w:rPr>
                <w:rFonts w:hint="eastAsia" w:ascii="宋体" w:hAnsi="宋体" w:cs="宋体"/>
                <w:kern w:val="0"/>
                <w:sz w:val="24"/>
                <w:szCs w:val="24"/>
                <w:lang w:val="en-US" w:eastAsia="zh-CN"/>
              </w:rPr>
              <w:t>60</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00"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w:t>
            </w:r>
            <w:r>
              <w:rPr>
                <w:rFonts w:hint="eastAsia" w:ascii="宋体" w:hAnsi="宋体" w:cs="宋体"/>
                <w:color w:val="000000"/>
                <w:kern w:val="0"/>
                <w:sz w:val="20"/>
                <w:szCs w:val="20"/>
                <w:lang w:val="en-US" w:eastAsia="zh-CN"/>
              </w:rPr>
              <w:t>容基本完</w:t>
            </w:r>
            <w:r>
              <w:rPr>
                <w:rFonts w:hint="eastAsia" w:ascii="宋体" w:hAnsi="宋体" w:cs="宋体"/>
                <w:color w:val="000000"/>
                <w:kern w:val="0"/>
                <w:sz w:val="20"/>
                <w:szCs w:val="20"/>
              </w:rPr>
              <w:t>整；发音不够标准，断句错误，表达不够流畅；举止不够得体</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51</w:t>
            </w:r>
            <w:r>
              <w:rPr>
                <w:rFonts w:ascii="宋体" w:hAnsi="宋体" w:cs="宋体"/>
                <w:kern w:val="0"/>
                <w:sz w:val="24"/>
                <w:szCs w:val="24"/>
              </w:rPr>
              <w:t>-</w:t>
            </w:r>
            <w:r>
              <w:rPr>
                <w:rFonts w:hint="eastAsia" w:ascii="宋体" w:hAnsi="宋体" w:cs="宋体"/>
                <w:kern w:val="0"/>
                <w:sz w:val="24"/>
                <w:szCs w:val="24"/>
                <w:lang w:val="en-US" w:eastAsia="zh-CN"/>
              </w:rPr>
              <w:t>55</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9"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color w:val="000000"/>
                <w:kern w:val="0"/>
                <w:sz w:val="20"/>
                <w:szCs w:val="20"/>
                <w:lang w:val="en-US" w:eastAsia="zh-CN"/>
              </w:rPr>
              <w:t>内</w:t>
            </w:r>
            <w:r>
              <w:rPr>
                <w:rFonts w:hint="eastAsia" w:ascii="宋体" w:hAnsi="宋体" w:cs="宋体"/>
                <w:color w:val="000000"/>
                <w:kern w:val="0"/>
                <w:sz w:val="20"/>
                <w:szCs w:val="20"/>
              </w:rPr>
              <w:t>容</w:t>
            </w:r>
            <w:r>
              <w:rPr>
                <w:rFonts w:hint="eastAsia" w:ascii="宋体" w:hAnsi="宋体" w:cs="宋体"/>
                <w:color w:val="000000"/>
                <w:kern w:val="0"/>
                <w:sz w:val="20"/>
                <w:szCs w:val="20"/>
                <w:lang w:val="en-US" w:eastAsia="zh-CN"/>
              </w:rPr>
              <w:t>不够</w:t>
            </w:r>
            <w:r>
              <w:rPr>
                <w:rFonts w:hint="eastAsia" w:ascii="宋体" w:hAnsi="宋体" w:cs="宋体"/>
                <w:color w:val="000000"/>
                <w:kern w:val="0"/>
                <w:sz w:val="20"/>
                <w:szCs w:val="20"/>
              </w:rPr>
              <w:t>完整；表达尚连贯；使用语言尚正确；举止欠佳</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45</w:t>
            </w:r>
            <w:r>
              <w:rPr>
                <w:rFonts w:ascii="宋体" w:hAnsi="宋体" w:cs="宋体"/>
                <w:kern w:val="0"/>
                <w:sz w:val="24"/>
                <w:szCs w:val="24"/>
              </w:rPr>
              <w:t>-</w:t>
            </w:r>
            <w:r>
              <w:rPr>
                <w:rFonts w:hint="eastAsia" w:ascii="宋体" w:hAnsi="宋体" w:cs="宋体"/>
                <w:kern w:val="0"/>
                <w:sz w:val="24"/>
                <w:szCs w:val="24"/>
                <w:lang w:val="en-US" w:eastAsia="zh-CN"/>
              </w:rPr>
              <w:t>50</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413" w:hRule="atLeast"/>
        </w:trPr>
        <w:tc>
          <w:tcPr>
            <w:tcW w:w="1654" w:type="dxa"/>
            <w:vMerge w:val="restart"/>
            <w:tcBorders>
              <w:top w:val="nil"/>
              <w:left w:val="single" w:color="auto" w:sz="4" w:space="0"/>
              <w:bottom w:val="single" w:color="auto" w:sz="4" w:space="0"/>
              <w:right w:val="single" w:color="auto" w:sz="4" w:space="0"/>
            </w:tcBorders>
            <w:vAlign w:val="center"/>
          </w:tcPr>
          <w:p>
            <w:pPr>
              <w:widowControl/>
              <w:jc w:val="center"/>
              <w:rPr>
                <w:rFonts w:hint="default" w:ascii="华文楷体" w:hAnsi="华文楷体" w:eastAsia="宋体" w:cs="宋体"/>
                <w:b/>
                <w:bCs/>
                <w:kern w:val="0"/>
                <w:sz w:val="32"/>
                <w:szCs w:val="32"/>
                <w:lang w:val="en-US" w:eastAsia="zh-CN"/>
              </w:rPr>
            </w:pPr>
            <w:r>
              <w:rPr>
                <w:rFonts w:hint="eastAsia" w:ascii="华文楷体" w:hAnsi="华文楷体" w:cs="宋体"/>
                <w:b/>
                <w:bCs/>
                <w:kern w:val="0"/>
                <w:sz w:val="32"/>
                <w:szCs w:val="32"/>
                <w:lang w:val="en-US" w:eastAsia="zh-CN"/>
              </w:rPr>
              <w:t>回答问题</w:t>
            </w:r>
          </w:p>
        </w:tc>
        <w:tc>
          <w:tcPr>
            <w:tcW w:w="1072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内容完整；口齿清晰，发音标准，地道纯正，断句准确，表达流畅，富有感染力；举止大方、得体</w:t>
            </w:r>
          </w:p>
        </w:tc>
        <w:tc>
          <w:tcPr>
            <w:tcW w:w="90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lang w:val="en-US" w:eastAsia="zh-CN"/>
              </w:rPr>
              <w:t>26</w:t>
            </w:r>
            <w:r>
              <w:rPr>
                <w:rFonts w:ascii="宋体" w:hAnsi="宋体" w:cs="宋体"/>
                <w:kern w:val="0"/>
                <w:sz w:val="24"/>
                <w:szCs w:val="24"/>
              </w:rPr>
              <w:t>-</w:t>
            </w:r>
            <w:r>
              <w:rPr>
                <w:rFonts w:hint="eastAsia" w:ascii="宋体" w:hAnsi="宋体" w:cs="宋体"/>
                <w:kern w:val="0"/>
                <w:sz w:val="24"/>
                <w:szCs w:val="24"/>
                <w:lang w:val="en-US" w:eastAsia="zh-CN"/>
              </w:rPr>
              <w:t>30</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71" w:hRule="atLeast"/>
        </w:trPr>
        <w:tc>
          <w:tcPr>
            <w:tcW w:w="1654"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内容完整；口齿清晰，发音标准，比较地道，断句准确，表达流畅，没有感染力；举止大方、得体</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21</w:t>
            </w:r>
            <w:r>
              <w:rPr>
                <w:rFonts w:ascii="宋体" w:hAnsi="宋体" w:cs="宋体"/>
                <w:kern w:val="0"/>
                <w:sz w:val="24"/>
                <w:szCs w:val="24"/>
              </w:rPr>
              <w:t>-</w:t>
            </w:r>
            <w:r>
              <w:rPr>
                <w:rFonts w:hint="eastAsia" w:ascii="宋体" w:hAnsi="宋体" w:cs="宋体"/>
                <w:kern w:val="0"/>
                <w:sz w:val="24"/>
                <w:szCs w:val="24"/>
                <w:lang w:val="en-US" w:eastAsia="zh-CN"/>
              </w:rPr>
              <w:t>25</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75" w:hRule="atLeast"/>
        </w:trPr>
        <w:tc>
          <w:tcPr>
            <w:tcW w:w="1654"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723"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内容完整；口齿清晰，发音标准，断句稍欠准确，表达不够流畅；举止得体</w:t>
            </w:r>
          </w:p>
        </w:tc>
        <w:tc>
          <w:tcPr>
            <w:tcW w:w="903" w:type="dxa"/>
            <w:tcBorders>
              <w:top w:val="nil"/>
              <w:left w:val="nil"/>
              <w:bottom w:val="single" w:color="auto" w:sz="4" w:space="0"/>
              <w:right w:val="single" w:color="auto" w:sz="4" w:space="0"/>
            </w:tcBorders>
            <w:vAlign w:val="center"/>
          </w:tcPr>
          <w:p>
            <w:pPr>
              <w:widowControl/>
              <w:jc w:val="left"/>
              <w:rPr>
                <w:rFonts w:hint="default" w:ascii="宋体" w:eastAsia="宋体" w:cs="宋体"/>
                <w:kern w:val="0"/>
                <w:sz w:val="24"/>
                <w:szCs w:val="24"/>
                <w:lang w:val="en-US" w:eastAsia="zh-CN"/>
              </w:rPr>
            </w:pPr>
            <w:r>
              <w:rPr>
                <w:rFonts w:hint="eastAsia" w:ascii="宋体" w:hAnsi="宋体" w:cs="宋体"/>
                <w:kern w:val="0"/>
                <w:sz w:val="24"/>
                <w:szCs w:val="24"/>
                <w:lang w:val="en-US" w:eastAsia="zh-CN"/>
              </w:rPr>
              <w:t>15</w:t>
            </w:r>
            <w:r>
              <w:rPr>
                <w:rFonts w:ascii="宋体" w:hAnsi="宋体" w:cs="宋体"/>
                <w:kern w:val="0"/>
                <w:sz w:val="24"/>
                <w:szCs w:val="24"/>
              </w:rPr>
              <w:t>-</w:t>
            </w:r>
            <w:r>
              <w:rPr>
                <w:rFonts w:hint="eastAsia" w:ascii="宋体" w:hAnsi="宋体" w:cs="宋体"/>
                <w:kern w:val="0"/>
                <w:sz w:val="24"/>
                <w:szCs w:val="24"/>
                <w:lang w:val="en-US" w:eastAsia="zh-CN"/>
              </w:rPr>
              <w:t>20</w:t>
            </w:r>
          </w:p>
        </w:tc>
        <w:tc>
          <w:tcPr>
            <w:tcW w:w="510" w:type="dxa"/>
            <w:tcBorders>
              <w:top w:val="nil"/>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640" w:hRule="atLeast"/>
        </w:trPr>
        <w:tc>
          <w:tcPr>
            <w:tcW w:w="1654" w:type="dxa"/>
            <w:tcBorders>
              <w:top w:val="nil"/>
              <w:left w:val="single" w:color="auto" w:sz="4" w:space="0"/>
              <w:bottom w:val="single" w:color="auto" w:sz="4" w:space="0"/>
              <w:right w:val="single" w:color="auto" w:sz="4" w:space="0"/>
            </w:tcBorders>
            <w:vAlign w:val="center"/>
          </w:tcPr>
          <w:p>
            <w:pPr>
              <w:widowControl/>
              <w:jc w:val="center"/>
              <w:rPr>
                <w:rFonts w:ascii="黑体" w:hAnsi="黑体" w:eastAsia="黑体" w:cs="宋体"/>
                <w:b/>
                <w:bCs/>
                <w:kern w:val="0"/>
                <w:sz w:val="24"/>
                <w:szCs w:val="24"/>
              </w:rPr>
            </w:pPr>
            <w:r>
              <w:rPr>
                <w:rFonts w:hint="eastAsia" w:ascii="黑体" w:hAnsi="黑体" w:eastAsia="黑体" w:cs="宋体"/>
                <w:b/>
                <w:bCs/>
                <w:kern w:val="0"/>
                <w:sz w:val="24"/>
                <w:szCs w:val="24"/>
              </w:rPr>
              <w:t>总计得分</w:t>
            </w:r>
          </w:p>
        </w:tc>
        <w:tc>
          <w:tcPr>
            <w:tcW w:w="12136" w:type="dxa"/>
            <w:gridSpan w:val="3"/>
            <w:tcBorders>
              <w:top w:val="single" w:color="auto" w:sz="4" w:space="0"/>
              <w:left w:val="nil"/>
              <w:bottom w:val="single" w:color="auto" w:sz="4" w:space="0"/>
              <w:right w:val="single" w:color="000000" w:sz="4" w:space="0"/>
            </w:tcBorders>
            <w:vAlign w:val="center"/>
          </w:tcPr>
          <w:p>
            <w:pPr>
              <w:widowControl/>
              <w:jc w:val="left"/>
              <w:rPr>
                <w:rFonts w:ascii="华文中宋" w:hAnsi="华文中宋" w:cs="宋体"/>
                <w:b/>
                <w:bCs/>
                <w:kern w:val="0"/>
                <w:sz w:val="22"/>
              </w:rPr>
            </w:pPr>
          </w:p>
          <w:p>
            <w:pPr>
              <w:widowControl/>
              <w:jc w:val="center"/>
              <w:rPr>
                <w:rFonts w:asci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12" w:hRule="atLeast"/>
        </w:trPr>
        <w:tc>
          <w:tcPr>
            <w:tcW w:w="16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考官评语</w:t>
            </w:r>
          </w:p>
        </w:tc>
        <w:tc>
          <w:tcPr>
            <w:tcW w:w="12136"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rPr>
                <w:rFonts w:hint="eastAsia" w:ascii="宋体" w:hAnsi="宋体" w:eastAsia="宋体" w:cs="宋体"/>
                <w:kern w:val="0"/>
                <w:sz w:val="24"/>
                <w:szCs w:val="24"/>
                <w:lang w:eastAsia="zh-CN"/>
              </w:rPr>
            </w:pPr>
          </w:p>
          <w:p>
            <w:pPr>
              <w:widowControl/>
              <w:rPr>
                <w:rFonts w:hint="eastAsia" w:ascii="宋体" w:hAnsi="宋体" w:eastAsia="宋体" w:cs="宋体"/>
                <w:kern w:val="0"/>
                <w:sz w:val="24"/>
                <w:szCs w:val="24"/>
                <w:lang w:eastAsia="zh-CN"/>
              </w:rPr>
            </w:pPr>
            <w:r>
              <w:rPr>
                <w:rFonts w:ascii="宋体" w:hAnsi="宋体" w:cs="宋体"/>
                <w:kern w:val="0"/>
                <w:sz w:val="24"/>
                <w:szCs w:val="24"/>
              </w:rPr>
              <w:t xml:space="preserve">                                          </w:t>
            </w:r>
            <w:r>
              <w:rPr>
                <w:rFonts w:hint="eastAsia" w:ascii="宋体" w:hAnsi="宋体" w:cs="宋体"/>
                <w:kern w:val="0"/>
                <w:sz w:val="24"/>
                <w:szCs w:val="24"/>
              </w:rPr>
              <w:t>考官签名：</w:t>
            </w:r>
          </w:p>
          <w:p>
            <w:pPr>
              <w:widowControl/>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年</w:t>
            </w:r>
            <w:r>
              <w:rPr>
                <w:rFonts w:ascii="宋体" w:hAnsi="宋体" w:cs="宋体"/>
                <w:kern w:val="0"/>
                <w:sz w:val="24"/>
                <w:szCs w:val="24"/>
              </w:rPr>
              <w:t xml:space="preserve">    </w:t>
            </w:r>
            <w:r>
              <w:rPr>
                <w:rFonts w:hint="eastAsia" w:ascii="宋体" w:hAnsi="宋体" w:cs="宋体"/>
                <w:kern w:val="0"/>
                <w:sz w:val="24"/>
                <w:szCs w:val="24"/>
              </w:rPr>
              <w:t>月</w:t>
            </w:r>
            <w:r>
              <w:rPr>
                <w:rFonts w:ascii="宋体" w:hAnsi="宋体" w:cs="宋体"/>
                <w:kern w:val="0"/>
                <w:sz w:val="24"/>
                <w:szCs w:val="24"/>
              </w:rPr>
              <w:t xml:space="preserve">    </w:t>
            </w:r>
            <w:r>
              <w:rPr>
                <w:rFonts w:hint="eastAsia" w:ascii="宋体" w:hAnsi="宋体" w:cs="宋体"/>
                <w:kern w:val="0"/>
                <w:sz w:val="24"/>
                <w:szCs w:val="24"/>
              </w:rPr>
              <w:t>日</w:t>
            </w:r>
          </w:p>
        </w:tc>
      </w:tr>
      <w:tr>
        <w:tblPrEx>
          <w:tblLayout w:type="fixed"/>
          <w:tblCellMar>
            <w:top w:w="0" w:type="dxa"/>
            <w:left w:w="108" w:type="dxa"/>
            <w:bottom w:w="0" w:type="dxa"/>
            <w:right w:w="108" w:type="dxa"/>
          </w:tblCellMar>
        </w:tblPrEx>
        <w:trPr>
          <w:trHeight w:val="312"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13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r>
        <w:tblPrEx>
          <w:tblLayout w:type="fixed"/>
          <w:tblCellMar>
            <w:top w:w="0" w:type="dxa"/>
            <w:left w:w="108" w:type="dxa"/>
            <w:bottom w:w="0" w:type="dxa"/>
            <w:right w:w="108" w:type="dxa"/>
          </w:tblCellMar>
        </w:tblPrEx>
        <w:trPr>
          <w:trHeight w:val="312"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13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r>
        <w:tblPrEx>
          <w:tblLayout w:type="fixed"/>
          <w:tblCellMar>
            <w:top w:w="0" w:type="dxa"/>
            <w:left w:w="108" w:type="dxa"/>
            <w:bottom w:w="0" w:type="dxa"/>
            <w:right w:w="108" w:type="dxa"/>
          </w:tblCellMar>
        </w:tblPrEx>
        <w:trPr>
          <w:trHeight w:val="1065" w:hRule="atLeast"/>
        </w:trPr>
        <w:tc>
          <w:tcPr>
            <w:tcW w:w="16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13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bl>
    <w:p>
      <w:pPr>
        <w:snapToGrid w:val="0"/>
        <w:spacing w:line="360" w:lineRule="auto"/>
        <w:ind w:firstLine="200"/>
        <w:rPr>
          <w:rFonts w:ascii="宋体"/>
          <w:color w:val="000000"/>
          <w:sz w:val="24"/>
        </w:rPr>
        <w:sectPr>
          <w:pgSz w:w="16838" w:h="11906" w:orient="landscape"/>
          <w:pgMar w:top="1276" w:right="1440" w:bottom="993" w:left="1440" w:header="851" w:footer="992" w:gutter="0"/>
          <w:cols w:space="425" w:num="1"/>
          <w:docGrid w:type="linesAndChars" w:linePitch="312" w:charSpace="0"/>
        </w:sectPr>
      </w:pPr>
    </w:p>
    <w:tbl>
      <w:tblPr>
        <w:tblStyle w:val="9"/>
        <w:tblW w:w="9180" w:type="dxa"/>
        <w:jc w:val="center"/>
        <w:tblInd w:w="0" w:type="dxa"/>
        <w:tblLayout w:type="fixed"/>
        <w:tblCellMar>
          <w:top w:w="0" w:type="dxa"/>
          <w:left w:w="108" w:type="dxa"/>
          <w:bottom w:w="0" w:type="dxa"/>
          <w:right w:w="108" w:type="dxa"/>
        </w:tblCellMar>
      </w:tblPr>
      <w:tblGrid>
        <w:gridCol w:w="1080"/>
        <w:gridCol w:w="1080"/>
        <w:gridCol w:w="1080"/>
        <w:gridCol w:w="1080"/>
        <w:gridCol w:w="2020"/>
        <w:gridCol w:w="1460"/>
        <w:gridCol w:w="1380"/>
      </w:tblGrid>
      <w:tr>
        <w:tblPrEx>
          <w:tblLayout w:type="fixed"/>
          <w:tblCellMar>
            <w:top w:w="0" w:type="dxa"/>
            <w:left w:w="108" w:type="dxa"/>
            <w:bottom w:w="0" w:type="dxa"/>
            <w:right w:w="108" w:type="dxa"/>
          </w:tblCellMar>
        </w:tblPrEx>
        <w:trPr>
          <w:trHeight w:val="630" w:hRule="atLeast"/>
          <w:jc w:val="center"/>
        </w:trPr>
        <w:tc>
          <w:tcPr>
            <w:tcW w:w="9180" w:type="dxa"/>
            <w:gridSpan w:val="7"/>
            <w:tcBorders>
              <w:top w:val="nil"/>
              <w:left w:val="nil"/>
              <w:bottom w:val="nil"/>
              <w:right w:val="nil"/>
            </w:tcBorders>
            <w:vAlign w:val="center"/>
          </w:tcPr>
          <w:p>
            <w:pPr>
              <w:snapToGrid w:val="0"/>
              <w:spacing w:line="360" w:lineRule="auto"/>
              <w:ind w:firstLine="200"/>
              <w:rPr>
                <w:rFonts w:ascii="宋体"/>
                <w:color w:val="000000"/>
                <w:sz w:val="24"/>
              </w:rPr>
            </w:pPr>
            <w:r>
              <w:rPr>
                <w:rFonts w:hint="eastAsia" w:ascii="宋体" w:hAnsi="宋体"/>
                <w:color w:val="000000"/>
                <w:sz w:val="24"/>
              </w:rPr>
              <w:t>附件</w:t>
            </w:r>
            <w:r>
              <w:rPr>
                <w:rFonts w:ascii="宋体" w:hAnsi="宋体"/>
                <w:color w:val="000000"/>
                <w:sz w:val="24"/>
              </w:rPr>
              <w:t>2</w:t>
            </w:r>
            <w:r>
              <w:rPr>
                <w:rFonts w:hint="eastAsia" w:ascii="宋体" w:hAnsi="宋体"/>
                <w:color w:val="000000"/>
                <w:sz w:val="24"/>
              </w:rPr>
              <w:t>：</w:t>
            </w:r>
          </w:p>
          <w:p>
            <w:pPr>
              <w:widowControl/>
              <w:jc w:val="center"/>
              <w:rPr>
                <w:rFonts w:ascii="宋体" w:cs="宋体"/>
                <w:b/>
                <w:bCs/>
                <w:color w:val="000000"/>
                <w:kern w:val="0"/>
                <w:sz w:val="32"/>
                <w:szCs w:val="32"/>
              </w:rPr>
            </w:pPr>
            <w:r>
              <w:rPr>
                <w:rFonts w:hint="eastAsia" w:ascii="宋体" w:hAnsi="宋体" w:cs="宋体"/>
                <w:b/>
                <w:bCs/>
                <w:kern w:val="0"/>
                <w:sz w:val="36"/>
                <w:szCs w:val="36"/>
                <w:lang w:eastAsia="zh-CN"/>
              </w:rPr>
              <w:t>“</w:t>
            </w:r>
            <w:r>
              <w:rPr>
                <w:rFonts w:hint="eastAsia" w:ascii="宋体" w:hAnsi="宋体" w:cs="宋体"/>
                <w:b/>
                <w:bCs/>
                <w:kern w:val="0"/>
                <w:sz w:val="36"/>
                <w:szCs w:val="36"/>
              </w:rPr>
              <w:t>外研社杯”演讲</w:t>
            </w:r>
            <w:r>
              <w:rPr>
                <w:rFonts w:hint="eastAsia" w:ascii="宋体" w:hAnsi="宋体" w:cs="宋体"/>
                <w:b/>
                <w:bCs/>
                <w:color w:val="000000"/>
                <w:kern w:val="0"/>
                <w:sz w:val="32"/>
                <w:szCs w:val="32"/>
              </w:rPr>
              <w:t>大赛（</w:t>
            </w:r>
            <w:r>
              <w:rPr>
                <w:rFonts w:ascii="宋体" w:hAnsi="宋体" w:cs="宋体"/>
                <w:b/>
                <w:bCs/>
                <w:color w:val="000000"/>
                <w:kern w:val="0"/>
                <w:sz w:val="32"/>
                <w:szCs w:val="32"/>
              </w:rPr>
              <w:t xml:space="preserve">    </w:t>
            </w:r>
            <w:r>
              <w:rPr>
                <w:rFonts w:hint="eastAsia" w:ascii="宋体" w:hAnsi="宋体" w:cs="宋体"/>
                <w:b/>
                <w:bCs/>
                <w:color w:val="000000"/>
                <w:kern w:val="0"/>
                <w:sz w:val="32"/>
                <w:szCs w:val="32"/>
              </w:rPr>
              <w:t>组）成绩汇总表</w:t>
            </w:r>
          </w:p>
        </w:tc>
      </w:tr>
      <w:tr>
        <w:tblPrEx>
          <w:tblLayout w:type="fixed"/>
          <w:tblCellMar>
            <w:top w:w="0" w:type="dxa"/>
            <w:left w:w="108" w:type="dxa"/>
            <w:bottom w:w="0" w:type="dxa"/>
            <w:right w:w="108" w:type="dxa"/>
          </w:tblCellMar>
        </w:tblPrEx>
        <w:trPr>
          <w:trHeight w:val="43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序号</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选手姓名</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性别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所在系部</w:t>
            </w:r>
          </w:p>
        </w:tc>
        <w:tc>
          <w:tcPr>
            <w:tcW w:w="202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所在班级及学号</w:t>
            </w:r>
          </w:p>
        </w:tc>
        <w:tc>
          <w:tcPr>
            <w:tcW w:w="146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成绩</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获奖等次</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3</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4</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5</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6</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7</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8</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9</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10</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13</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14</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15</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5"/>
                <w:szCs w:val="15"/>
              </w:rPr>
            </w:pPr>
            <w:r>
              <w:rPr>
                <w:rFonts w:hint="eastAsia" w:ascii="宋体" w:hAnsi="宋体" w:cs="宋体"/>
                <w:color w:val="000000"/>
                <w:kern w:val="0"/>
                <w:sz w:val="15"/>
                <w:szCs w:val="15"/>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16</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17</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18</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19</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20</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23</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202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46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3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24</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202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46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3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nil"/>
              <w:bottom w:val="nil"/>
              <w:right w:val="nil"/>
            </w:tcBorders>
            <w:vAlign w:val="center"/>
          </w:tcPr>
          <w:p>
            <w:pPr>
              <w:widowControl/>
              <w:jc w:val="left"/>
              <w:rPr>
                <w:rFonts w:ascii="宋体" w:cs="宋体"/>
                <w:color w:val="000000"/>
                <w:kern w:val="0"/>
                <w:sz w:val="22"/>
              </w:rPr>
            </w:pPr>
          </w:p>
        </w:tc>
        <w:tc>
          <w:tcPr>
            <w:tcW w:w="1080" w:type="dxa"/>
            <w:tcBorders>
              <w:top w:val="nil"/>
              <w:left w:val="nil"/>
              <w:bottom w:val="nil"/>
              <w:right w:val="nil"/>
            </w:tcBorders>
            <w:vAlign w:val="center"/>
          </w:tcPr>
          <w:p>
            <w:pPr>
              <w:widowControl/>
              <w:jc w:val="left"/>
              <w:rPr>
                <w:rFonts w:ascii="Times New Roman" w:hAnsi="Times New Roman"/>
                <w:kern w:val="0"/>
                <w:sz w:val="20"/>
                <w:szCs w:val="20"/>
              </w:rPr>
            </w:pPr>
          </w:p>
        </w:tc>
        <w:tc>
          <w:tcPr>
            <w:tcW w:w="1080" w:type="dxa"/>
            <w:tcBorders>
              <w:top w:val="nil"/>
              <w:left w:val="nil"/>
              <w:bottom w:val="nil"/>
              <w:right w:val="nil"/>
            </w:tcBorders>
            <w:vAlign w:val="center"/>
          </w:tcPr>
          <w:p>
            <w:pPr>
              <w:widowControl/>
              <w:jc w:val="left"/>
              <w:rPr>
                <w:rFonts w:ascii="Times New Roman" w:hAnsi="Times New Roman"/>
                <w:kern w:val="0"/>
                <w:sz w:val="20"/>
                <w:szCs w:val="20"/>
              </w:rPr>
            </w:pPr>
          </w:p>
        </w:tc>
        <w:tc>
          <w:tcPr>
            <w:tcW w:w="1080" w:type="dxa"/>
            <w:tcBorders>
              <w:top w:val="nil"/>
              <w:left w:val="nil"/>
              <w:bottom w:val="nil"/>
              <w:right w:val="nil"/>
            </w:tcBorders>
            <w:vAlign w:val="center"/>
          </w:tcPr>
          <w:p>
            <w:pPr>
              <w:widowControl/>
              <w:jc w:val="left"/>
              <w:rPr>
                <w:rFonts w:ascii="Times New Roman" w:hAnsi="Times New Roman"/>
                <w:kern w:val="0"/>
                <w:sz w:val="20"/>
                <w:szCs w:val="20"/>
              </w:rPr>
            </w:pPr>
          </w:p>
        </w:tc>
        <w:tc>
          <w:tcPr>
            <w:tcW w:w="2020" w:type="dxa"/>
            <w:tcBorders>
              <w:top w:val="nil"/>
              <w:left w:val="nil"/>
              <w:bottom w:val="nil"/>
              <w:right w:val="nil"/>
            </w:tcBorders>
            <w:vAlign w:val="center"/>
          </w:tcPr>
          <w:p>
            <w:pPr>
              <w:widowControl/>
              <w:jc w:val="left"/>
              <w:rPr>
                <w:rFonts w:ascii="Times New Roman" w:hAnsi="Times New Roman"/>
                <w:kern w:val="0"/>
                <w:sz w:val="20"/>
                <w:szCs w:val="20"/>
              </w:rPr>
            </w:pPr>
          </w:p>
        </w:tc>
        <w:tc>
          <w:tcPr>
            <w:tcW w:w="1460" w:type="dxa"/>
            <w:tcBorders>
              <w:top w:val="nil"/>
              <w:left w:val="nil"/>
              <w:bottom w:val="nil"/>
              <w:right w:val="nil"/>
            </w:tcBorders>
            <w:vAlign w:val="center"/>
          </w:tcPr>
          <w:p>
            <w:pPr>
              <w:widowControl/>
              <w:jc w:val="left"/>
              <w:rPr>
                <w:rFonts w:ascii="Times New Roman" w:hAnsi="Times New Roman"/>
                <w:kern w:val="0"/>
                <w:sz w:val="20"/>
                <w:szCs w:val="20"/>
              </w:rPr>
            </w:pPr>
          </w:p>
        </w:tc>
        <w:tc>
          <w:tcPr>
            <w:tcW w:w="1380" w:type="dxa"/>
            <w:tcBorders>
              <w:top w:val="nil"/>
              <w:left w:val="nil"/>
              <w:bottom w:val="nil"/>
              <w:right w:val="nil"/>
            </w:tcBorders>
            <w:vAlign w:val="center"/>
          </w:tcPr>
          <w:p>
            <w:pPr>
              <w:widowControl/>
              <w:jc w:val="left"/>
              <w:rPr>
                <w:rFonts w:ascii="Times New Roman" w:hAnsi="Times New Roman"/>
                <w:kern w:val="0"/>
                <w:sz w:val="20"/>
                <w:szCs w:val="20"/>
              </w:rPr>
            </w:pPr>
          </w:p>
        </w:tc>
      </w:tr>
      <w:tr>
        <w:tblPrEx>
          <w:tblLayout w:type="fixed"/>
          <w:tblCellMar>
            <w:top w:w="0" w:type="dxa"/>
            <w:left w:w="108" w:type="dxa"/>
            <w:bottom w:w="0" w:type="dxa"/>
            <w:right w:w="108" w:type="dxa"/>
          </w:tblCellMar>
        </w:tblPrEx>
        <w:trPr>
          <w:trHeight w:val="1170" w:hRule="atLeast"/>
          <w:jc w:val="center"/>
        </w:trPr>
        <w:tc>
          <w:tcPr>
            <w:tcW w:w="9180" w:type="dxa"/>
            <w:gridSpan w:val="7"/>
            <w:tcBorders>
              <w:top w:val="nil"/>
              <w:left w:val="nil"/>
              <w:bottom w:val="nil"/>
              <w:right w:val="nil"/>
            </w:tcBorders>
            <w:vAlign w:val="center"/>
          </w:tcPr>
          <w:p>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rPr>
              <w:t>裁判签名：</w:t>
            </w:r>
          </w:p>
          <w:p>
            <w:pPr>
              <w:widowControl/>
              <w:jc w:val="left"/>
              <w:rPr>
                <w:rFonts w:ascii="宋体" w:cs="宋体"/>
                <w:color w:val="000000"/>
                <w:kern w:val="0"/>
                <w:sz w:val="22"/>
              </w:rPr>
            </w:pPr>
            <w:r>
              <w:rPr>
                <w:rFonts w:ascii="宋体" w:hAnsi="宋体" w:cs="宋体"/>
                <w:color w:val="000000"/>
                <w:kern w:val="0"/>
                <w:sz w:val="22"/>
              </w:rPr>
              <w:t xml:space="preserve">                                                              </w:t>
            </w:r>
            <w:r>
              <w:rPr>
                <w:rFonts w:hint="eastAsia" w:ascii="宋体" w:hAnsi="宋体" w:cs="宋体"/>
                <w:color w:val="000000"/>
                <w:kern w:val="0"/>
                <w:sz w:val="22"/>
              </w:rPr>
              <w:t>年</w:t>
            </w:r>
            <w:r>
              <w:rPr>
                <w:rFonts w:ascii="宋体" w:hAnsi="宋体" w:cs="宋体"/>
                <w:color w:val="000000"/>
                <w:kern w:val="0"/>
                <w:sz w:val="22"/>
              </w:rPr>
              <w:t xml:space="preserve">    </w:t>
            </w:r>
            <w:r>
              <w:rPr>
                <w:rFonts w:hint="eastAsia" w:ascii="宋体" w:hAnsi="宋体" w:cs="宋体"/>
                <w:color w:val="000000"/>
                <w:kern w:val="0"/>
                <w:sz w:val="22"/>
              </w:rPr>
              <w:t>月</w:t>
            </w:r>
            <w:r>
              <w:rPr>
                <w:rFonts w:ascii="宋体" w:hAnsi="宋体" w:cs="宋体"/>
                <w:color w:val="000000"/>
                <w:kern w:val="0"/>
                <w:sz w:val="22"/>
              </w:rPr>
              <w:t xml:space="preserve">    </w:t>
            </w:r>
            <w:r>
              <w:rPr>
                <w:rFonts w:hint="eastAsia" w:ascii="宋体" w:hAnsi="宋体" w:cs="宋体"/>
                <w:color w:val="000000"/>
                <w:kern w:val="0"/>
                <w:sz w:val="22"/>
              </w:rPr>
              <w:t>日</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roman"/>
    <w:pitch w:val="default"/>
    <w:sig w:usb0="00000000" w:usb1="00000000" w:usb2="00000000" w:usb3="00000000" w:csb0="0004009F" w:csb1="DFD70000"/>
  </w:font>
  <w:font w:name="华文中宋">
    <w:altName w:val="宋体"/>
    <w:panose1 w:val="02010600040101010101"/>
    <w:charset w:val="86"/>
    <w:family w:val="roman"/>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921C8C"/>
    <w:multiLevelType w:val="singleLevel"/>
    <w:tmpl w:val="70921C8C"/>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701B"/>
    <w:rsid w:val="00000B7E"/>
    <w:rsid w:val="00045CDA"/>
    <w:rsid w:val="00074944"/>
    <w:rsid w:val="00081DC9"/>
    <w:rsid w:val="000B1234"/>
    <w:rsid w:val="001210D5"/>
    <w:rsid w:val="0012155A"/>
    <w:rsid w:val="0012440C"/>
    <w:rsid w:val="00126F43"/>
    <w:rsid w:val="00130B31"/>
    <w:rsid w:val="001548B3"/>
    <w:rsid w:val="00192130"/>
    <w:rsid w:val="001B1284"/>
    <w:rsid w:val="001C29B3"/>
    <w:rsid w:val="001C3187"/>
    <w:rsid w:val="001D1AC0"/>
    <w:rsid w:val="001D2147"/>
    <w:rsid w:val="002138AD"/>
    <w:rsid w:val="0023099B"/>
    <w:rsid w:val="0024045F"/>
    <w:rsid w:val="00244745"/>
    <w:rsid w:val="00276467"/>
    <w:rsid w:val="002943FC"/>
    <w:rsid w:val="002D4DB5"/>
    <w:rsid w:val="002E4260"/>
    <w:rsid w:val="00323808"/>
    <w:rsid w:val="00332100"/>
    <w:rsid w:val="00341C85"/>
    <w:rsid w:val="00345024"/>
    <w:rsid w:val="00353FC3"/>
    <w:rsid w:val="003638D5"/>
    <w:rsid w:val="003965CB"/>
    <w:rsid w:val="003D1771"/>
    <w:rsid w:val="003E476D"/>
    <w:rsid w:val="003F5692"/>
    <w:rsid w:val="00436AD2"/>
    <w:rsid w:val="00486B5F"/>
    <w:rsid w:val="004B1795"/>
    <w:rsid w:val="004D5699"/>
    <w:rsid w:val="004F066F"/>
    <w:rsid w:val="005363E9"/>
    <w:rsid w:val="00552FE2"/>
    <w:rsid w:val="00560A5C"/>
    <w:rsid w:val="00577B62"/>
    <w:rsid w:val="005971F4"/>
    <w:rsid w:val="005A2AD3"/>
    <w:rsid w:val="005F1794"/>
    <w:rsid w:val="005F4784"/>
    <w:rsid w:val="00650E6A"/>
    <w:rsid w:val="006940D9"/>
    <w:rsid w:val="006C1864"/>
    <w:rsid w:val="006D1564"/>
    <w:rsid w:val="006E1BFB"/>
    <w:rsid w:val="006F25A5"/>
    <w:rsid w:val="0071211A"/>
    <w:rsid w:val="0077179B"/>
    <w:rsid w:val="0078780F"/>
    <w:rsid w:val="007901E0"/>
    <w:rsid w:val="007A1FFA"/>
    <w:rsid w:val="007A4C7C"/>
    <w:rsid w:val="007B4F2D"/>
    <w:rsid w:val="00823E1B"/>
    <w:rsid w:val="008478C2"/>
    <w:rsid w:val="008633C0"/>
    <w:rsid w:val="0089461E"/>
    <w:rsid w:val="008A3B48"/>
    <w:rsid w:val="008A463A"/>
    <w:rsid w:val="008D51AE"/>
    <w:rsid w:val="008D5285"/>
    <w:rsid w:val="00917777"/>
    <w:rsid w:val="00920CDC"/>
    <w:rsid w:val="009446C3"/>
    <w:rsid w:val="009450DF"/>
    <w:rsid w:val="009E2DD9"/>
    <w:rsid w:val="009F67F7"/>
    <w:rsid w:val="00AA4E9B"/>
    <w:rsid w:val="00AB36ED"/>
    <w:rsid w:val="00AD5C3E"/>
    <w:rsid w:val="00AF7C8D"/>
    <w:rsid w:val="00B371A8"/>
    <w:rsid w:val="00B536CA"/>
    <w:rsid w:val="00B709FB"/>
    <w:rsid w:val="00BA58FE"/>
    <w:rsid w:val="00BE5D10"/>
    <w:rsid w:val="00BF5F5D"/>
    <w:rsid w:val="00C1368A"/>
    <w:rsid w:val="00CA1201"/>
    <w:rsid w:val="00CB59C2"/>
    <w:rsid w:val="00CE3932"/>
    <w:rsid w:val="00D3605F"/>
    <w:rsid w:val="00D47DF8"/>
    <w:rsid w:val="00D62884"/>
    <w:rsid w:val="00D72A7D"/>
    <w:rsid w:val="00D87B9D"/>
    <w:rsid w:val="00E26F0F"/>
    <w:rsid w:val="00E27E35"/>
    <w:rsid w:val="00E32497"/>
    <w:rsid w:val="00E4531B"/>
    <w:rsid w:val="00E9701B"/>
    <w:rsid w:val="00EA4F03"/>
    <w:rsid w:val="00EA579D"/>
    <w:rsid w:val="00ED1D68"/>
    <w:rsid w:val="00F324A4"/>
    <w:rsid w:val="00F6005C"/>
    <w:rsid w:val="00F943C4"/>
    <w:rsid w:val="00F95769"/>
    <w:rsid w:val="00FA7165"/>
    <w:rsid w:val="00FB0A58"/>
    <w:rsid w:val="00FC4392"/>
    <w:rsid w:val="156F6FD8"/>
    <w:rsid w:val="1F2E56A2"/>
    <w:rsid w:val="2DCF6759"/>
    <w:rsid w:val="31E51E67"/>
    <w:rsid w:val="47CF2729"/>
    <w:rsid w:val="480E742E"/>
    <w:rsid w:val="65B7552A"/>
    <w:rsid w:val="6FCD09BA"/>
    <w:rsid w:val="70F9174D"/>
    <w:rsid w:val="7BD85914"/>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widowControl/>
      <w:spacing w:before="100" w:beforeAutospacing="1" w:after="100" w:afterAutospacing="1"/>
      <w:jc w:val="left"/>
      <w:outlineLvl w:val="1"/>
    </w:pPr>
    <w:rPr>
      <w:rFonts w:ascii="宋体" w:hAnsi="宋体" w:cs="宋体"/>
      <w:kern w:val="0"/>
      <w:sz w:val="24"/>
      <w:szCs w:val="24"/>
    </w:rPr>
  </w:style>
  <w:style w:type="character" w:default="1" w:styleId="6">
    <w:name w:val="Default Paragraph Font"/>
    <w:semiHidden/>
    <w:qFormat/>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7"/>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styleId="8">
    <w:name w:val="Hyperlink"/>
    <w:basedOn w:val="6"/>
    <w:semiHidden/>
    <w:qFormat/>
    <w:uiPriority w:val="99"/>
    <w:rPr>
      <w:rFonts w:cs="Times New Roman"/>
      <w:color w:val="607FA6"/>
      <w:u w:val="none"/>
    </w:rPr>
  </w:style>
  <w:style w:type="character" w:customStyle="1" w:styleId="10">
    <w:name w:val="Heading 2 Char"/>
    <w:basedOn w:val="6"/>
    <w:link w:val="2"/>
    <w:qFormat/>
    <w:locked/>
    <w:uiPriority w:val="99"/>
    <w:rPr>
      <w:rFonts w:ascii="宋体" w:hAnsi="宋体" w:eastAsia="宋体" w:cs="宋体"/>
      <w:kern w:val="0"/>
      <w:sz w:val="24"/>
      <w:szCs w:val="24"/>
    </w:rPr>
  </w:style>
  <w:style w:type="character" w:customStyle="1" w:styleId="11">
    <w:name w:val="Header Char"/>
    <w:basedOn w:val="6"/>
    <w:link w:val="5"/>
    <w:qFormat/>
    <w:locked/>
    <w:uiPriority w:val="99"/>
    <w:rPr>
      <w:rFonts w:cs="Times New Roman"/>
      <w:sz w:val="18"/>
      <w:szCs w:val="18"/>
    </w:rPr>
  </w:style>
  <w:style w:type="character" w:customStyle="1" w:styleId="12">
    <w:name w:val="Footer Char"/>
    <w:basedOn w:val="6"/>
    <w:link w:val="4"/>
    <w:qFormat/>
    <w:locked/>
    <w:uiPriority w:val="99"/>
    <w:rPr>
      <w:rFonts w:cs="Times New Roman"/>
      <w:sz w:val="18"/>
      <w:szCs w:val="18"/>
    </w:rPr>
  </w:style>
  <w:style w:type="character" w:customStyle="1" w:styleId="13">
    <w:name w:val="rich_media_meta1"/>
    <w:basedOn w:val="6"/>
    <w:qFormat/>
    <w:uiPriority w:val="99"/>
    <w:rPr>
      <w:rFonts w:cs="Times New Roman"/>
      <w:sz w:val="24"/>
      <w:szCs w:val="24"/>
    </w:rPr>
  </w:style>
  <w:style w:type="paragraph" w:customStyle="1" w:styleId="14">
    <w:name w:val="profile_meta"/>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5">
    <w:name w:val="profile_meta_value"/>
    <w:basedOn w:val="6"/>
    <w:qFormat/>
    <w:uiPriority w:val="99"/>
    <w:rPr>
      <w:rFonts w:cs="Times New Roman"/>
    </w:rPr>
  </w:style>
  <w:style w:type="paragraph" w:customStyle="1" w:styleId="16">
    <w:name w:val="List Paragraph"/>
    <w:basedOn w:val="1"/>
    <w:qFormat/>
    <w:uiPriority w:val="99"/>
    <w:pPr>
      <w:ind w:firstLine="420" w:firstLineChars="200"/>
    </w:pPr>
  </w:style>
  <w:style w:type="character" w:customStyle="1" w:styleId="17">
    <w:name w:val="Balloon Text Char"/>
    <w:basedOn w:val="6"/>
    <w:link w:val="3"/>
    <w:semiHidden/>
    <w:qFormat/>
    <w:locked/>
    <w:uiPriority w:val="99"/>
    <w:rPr>
      <w:rFonts w:cs="Times New Roman"/>
      <w:sz w:val="18"/>
      <w:szCs w:val="18"/>
    </w:rPr>
  </w:style>
  <w:style w:type="table" w:customStyle="1" w:styleId="18">
    <w:name w:val="网格型1"/>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8</Pages>
  <Words>2390</Words>
  <Characters>2655</Characters>
  <Lines>0</Lines>
  <Paragraphs>0</Paragraphs>
  <TotalTime>0</TotalTime>
  <ScaleCrop>false</ScaleCrop>
  <LinksUpToDate>false</LinksUpToDate>
  <CharactersWithSpaces>3018</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2017-10-19T08:32:00Z</dcterms:created>
  <dc:creator>user</dc:creator>
  <cp:lastModifiedBy>czs</cp:lastModifiedBy>
  <dcterms:modified xsi:type="dcterms:W3CDTF">2022-04-18T02:04:07Z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eyJoZGlkIjoiNTc4NDE0N2I0NTU0YzVjNjdiYjRlZjkwOGM2ZDZmZTIifQ==</vt:lpwstr>
  </property>
  <property fmtid="{D5CDD505-2E9C-101B-9397-08002B2CF9AE}" pid="3" name="KSOProductBuildVer">
    <vt:lpwstr>2052-10.1.0.5740</vt:lpwstr>
  </property>
  <property fmtid="{D5CDD505-2E9C-101B-9397-08002B2CF9AE}" pid="4" name="ICV">
    <vt:lpwstr>C6E890082A254A90A5F437ADFDFF8D04</vt:lpwstr>
  </property>
</Properties>
</file>